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>ОГРН 1125476023298 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ридический адрес организации: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займа № </w:t>
      </w:r>
      <w:r>
        <w:rPr>
          <w:rFonts w:ascii="Times New Roman" w:eastAsia="Times New Roman" w:hAnsi="Times New Roman" w:cs="Times New Roman"/>
          <w:sz w:val="26"/>
          <w:rtl w:val="0"/>
        </w:rPr>
        <w:t>11754499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из них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сумма основного долга,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сумма процентов за пользование займом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девяносто две копейки).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