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101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91MS0070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>микро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расходов по оплате госпошлины,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статьями 193-199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30101810500000000653, р/с 40702810155100003951, наименование банка Северо-Западный банк ПАО Сбербанк,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лит</w:t>
      </w:r>
      <w:r>
        <w:rPr>
          <w:rFonts w:ascii="Times New Roman" w:eastAsia="Times New Roman" w:hAnsi="Times New Roman" w:cs="Times New Roman"/>
          <w:sz w:val="28"/>
          <w:rtl w:val="0"/>
        </w:rPr>
        <w:t>.А</w:t>
      </w:r>
      <w:r>
        <w:rPr>
          <w:rFonts w:ascii="Times New Roman" w:eastAsia="Times New Roman" w:hAnsi="Times New Roman" w:cs="Times New Roman"/>
          <w:sz w:val="28"/>
          <w:rtl w:val="0"/>
        </w:rPr>
        <w:t>, пом.214, почтовый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rtl w:val="0"/>
        </w:rPr>
        <w:t>микро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17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10229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, из которых: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сумма займа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pacing w:val="-8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проценты за пользование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pacing w:val="-8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</w:t>
      </w:r>
      <w:r>
        <w:rPr>
          <w:rFonts w:ascii="Times New Roman" w:eastAsia="Times New Roman" w:hAnsi="Times New Roman" w:cs="Times New Roman"/>
          <w:sz w:val="28"/>
          <w:rtl w:val="0"/>
        </w:rPr>
        <w:t>ого судью судебного участка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