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131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</w:t>
      </w:r>
      <w:r>
        <w:rPr>
          <w:rFonts w:ascii="Times New Roman" w:eastAsia="Times New Roman" w:hAnsi="Times New Roman" w:cs="Times New Roman"/>
          <w:sz w:val="26"/>
          <w:rtl w:val="0"/>
        </w:rPr>
        <w:t>помощнике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>беспечивающе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поручению </w:t>
      </w:r>
      <w:r>
        <w:rPr>
          <w:rFonts w:ascii="Times New Roman" w:eastAsia="Times New Roman" w:hAnsi="Times New Roman" w:cs="Times New Roman"/>
          <w:sz w:val="26"/>
          <w:rtl w:val="0"/>
        </w:rPr>
        <w:t>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</w:t>
      </w:r>
      <w:r>
        <w:rPr>
          <w:rFonts w:ascii="Times New Roman" w:eastAsia="Times New Roman" w:hAnsi="Times New Roman" w:cs="Times New Roman"/>
          <w:sz w:val="26"/>
          <w:rtl w:val="0"/>
        </w:rPr>
        <w:t>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на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1089409040: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Гашино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плате взносов на капитальный ремонт общего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имущества многоквартирного дома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как с сособственника квартиры,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пени с применением пол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ожений ст. 333 ГК РФ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удовлетворении остальных требований о взыскании пеней – отказать.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Гашино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расходы по уплате государственной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>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обязан составить мотивированное решение суда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</w:t>
      </w:r>
      <w:r>
        <w:rPr>
          <w:rFonts w:ascii="Times New Roman" w:eastAsia="Times New Roman" w:hAnsi="Times New Roman" w:cs="Times New Roman"/>
          <w:sz w:val="26"/>
          <w:rtl w:val="0"/>
        </w:rPr>
        <w:t>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быть обжаловано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путем подачи апелляционной жалобы через мирового судью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месяца со дня вынесения решения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