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193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обеспечивающем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его представителя по устному ходатайству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пеней,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частично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1149102183735): на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к/с 30101810335100000607 для зачисления на л/с № </w:t>
      </w:r>
      <w:r>
        <w:rPr>
          <w:rFonts w:ascii="Times New Roman" w:eastAsia="Times New Roman" w:hAnsi="Times New Roman" w:cs="Times New Roman"/>
          <w:sz w:val="26"/>
          <w:rtl w:val="0"/>
        </w:rPr>
        <w:t>1097065175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Новомихайловка </w:t>
      </w:r>
      <w:r>
        <w:rPr>
          <w:rFonts w:ascii="Times New Roman" w:eastAsia="Times New Roman" w:hAnsi="Times New Roman" w:cs="Times New Roman"/>
          <w:sz w:val="26"/>
          <w:rtl w:val="0"/>
        </w:rPr>
        <w:t>Янгюльского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по оплате взносов на капитальный ремонт общего имущества многоквартирного дома, как с сособственника </w:t>
      </w:r>
      <w:r>
        <w:rPr>
          <w:rFonts w:ascii="Times New Roman" w:eastAsia="Times New Roman" w:hAnsi="Times New Roman" w:cs="Times New Roman"/>
          <w:sz w:val="26"/>
          <w:rtl w:val="0"/>
        </w:rPr>
        <w:t>помещения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расположенной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включительно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пени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применением положений ст. 404 ГК РФ и ст. 333 ГК РФ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удовлетворении остальных требований о взыскании пеней – отказать.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40603810940810000001,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к/с Новомихайловка </w:t>
      </w:r>
      <w:r>
        <w:rPr>
          <w:rFonts w:ascii="Times New Roman" w:eastAsia="Times New Roman" w:hAnsi="Times New Roman" w:cs="Times New Roman"/>
          <w:sz w:val="26"/>
          <w:rtl w:val="0"/>
        </w:rPr>
        <w:t>Янгюльского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расходы по уплате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(пропорционально удовлетворенной части требований до применения положений ст. 333 ГК РФ к требованиям о взыскании пеней).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путем подачи апелляционной жалобы через мирового судью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месяца со дня вынесения решения.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2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