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0" w:right="0"/>
        <w:jc w:val="right"/>
      </w:pPr>
      <w:r>
        <w:rPr>
          <w:rFonts w:ascii="Times New Roman" w:eastAsia="Times New Roman" w:hAnsi="Times New Roman" w:cs="Times New Roman"/>
          <w:b w:val="0"/>
          <w:sz w:val="26"/>
          <w:rtl w:val="0"/>
        </w:rPr>
        <w:t>Дело № 2-7</w:t>
      </w:r>
      <w:r>
        <w:rPr>
          <w:rFonts w:ascii="Times New Roman" w:eastAsia="Times New Roman" w:hAnsi="Times New Roman" w:cs="Times New Roman"/>
          <w:b w:val="0"/>
          <w:sz w:val="26"/>
          <w:rtl w:val="0"/>
        </w:rPr>
        <w:t>0</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229</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3</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6"/>
          <w:rtl w:val="0"/>
        </w:rPr>
        <w:t>УИД: 91</w:t>
      </w:r>
      <w:r>
        <w:rPr>
          <w:rFonts w:ascii="Times New Roman" w:eastAsia="Times New Roman" w:hAnsi="Times New Roman" w:cs="Times New Roman"/>
          <w:sz w:val="26"/>
          <w:rtl w:val="0"/>
        </w:rPr>
        <w:t>MS</w:t>
      </w:r>
      <w:r>
        <w:rPr>
          <w:rFonts w:ascii="Times New Roman" w:eastAsia="Times New Roman" w:hAnsi="Times New Roman" w:cs="Times New Roman"/>
          <w:sz w:val="26"/>
          <w:rtl w:val="0"/>
        </w:rPr>
        <w:t>007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sz w:val="26"/>
          <w:rtl w:val="0"/>
        </w:rPr>
        <w:t xml:space="preserve">РЕШЕНИЕ </w:t>
      </w:r>
    </w:p>
    <w:p>
      <w:pPr>
        <w:bidi w:val="0"/>
        <w:spacing w:before="0" w:beforeAutospacing="0" w:after="0" w:afterAutospacing="0"/>
        <w:ind w:left="0" w:right="0"/>
        <w:jc w:val="center"/>
        <w:rPr>
          <w:rtl w:val="0"/>
        </w:rPr>
      </w:pPr>
      <w:r>
        <w:rPr>
          <w:rFonts w:ascii="Times New Roman" w:eastAsia="Times New Roman" w:hAnsi="Times New Roman" w:cs="Times New Roman"/>
          <w:b/>
          <w:sz w:val="26"/>
          <w:rtl w:val="0"/>
        </w:rPr>
        <w:t>Именем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Мировой судья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w:t>
      </w:r>
      <w:r>
        <w:rPr>
          <w:rFonts w:ascii="Times New Roman" w:eastAsia="Times New Roman" w:hAnsi="Times New Roman" w:cs="Times New Roman"/>
          <w:sz w:val="28"/>
          <w:rtl w:val="0"/>
        </w:rPr>
        <w:t xml:space="preserve">помощнике судьи, обеспечивающем по поручению председательствующего ведение протокола и </w:t>
      </w:r>
      <w:r>
        <w:rPr>
          <w:rFonts w:ascii="Times New Roman" w:eastAsia="Times New Roman" w:hAnsi="Times New Roman" w:cs="Times New Roman"/>
          <w:sz w:val="28"/>
          <w:rtl w:val="0"/>
        </w:rPr>
        <w:t>аудиопротоколирование</w:t>
      </w:r>
      <w:r>
        <w:rPr>
          <w:rFonts w:ascii="Times New Roman" w:eastAsia="Times New Roman" w:hAnsi="Times New Roman" w:cs="Times New Roman"/>
          <w:sz w:val="28"/>
          <w:rtl w:val="0"/>
        </w:rPr>
        <w:t xml:space="preserve"> судебного заседания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рассмотрев в открытом судебном заседании гражданское дело по иску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взыскании задолженности по оплате взносов на капитальный ремонт общего имущества в многоквартирном доме</w:t>
      </w:r>
      <w:r>
        <w:rPr>
          <w:rFonts w:ascii="Times New Roman" w:eastAsia="Times New Roman" w:hAnsi="Times New Roman" w:cs="Times New Roman"/>
          <w:sz w:val="28"/>
          <w:rtl w:val="0"/>
        </w:rPr>
        <w:t xml:space="preserve"> и пеней,</w:t>
      </w:r>
    </w:p>
    <w:p>
      <w:pPr>
        <w:bidi w:val="0"/>
        <w:spacing w:before="0" w:beforeAutospacing="0" w:after="0" w:afterAutospacing="0" w:line="293" w:lineRule="atLeast"/>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(далее – Фонд) обратилась в суд с иском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взыскании задолженности по уплате взносов на капитальный ремонт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а также пеней в размере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Требования мотивированы тем, что ответчик является собственником квартиры площадью 43,5 </w:t>
      </w:r>
      <w:r>
        <w:rPr>
          <w:rFonts w:ascii="Times New Roman" w:eastAsia="Times New Roman" w:hAnsi="Times New Roman" w:cs="Times New Roman"/>
          <w:sz w:val="28"/>
          <w:rtl w:val="0"/>
        </w:rPr>
        <w:t>кв.м</w:t>
      </w:r>
      <w:r>
        <w:rPr>
          <w:rFonts w:ascii="Times New Roman" w:eastAsia="Times New Roman" w:hAnsi="Times New Roman" w:cs="Times New Roman"/>
          <w:sz w:val="28"/>
          <w:rtl w:val="0"/>
        </w:rPr>
        <w:t xml:space="preserve">., расположенной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Дом включен в региональную программу капитального ремонта на 2016-2045г.г.</w:t>
      </w:r>
      <w:r>
        <w:rPr>
          <w:rFonts w:ascii="Times New Roman" w:eastAsia="Times New Roman" w:hAnsi="Times New Roman" w:cs="Times New Roman"/>
          <w:sz w:val="28"/>
          <w:rtl w:val="0"/>
        </w:rPr>
        <w:t xml:space="preserve">, в соответствии с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918 фонд капитального ремонта указанного многоквартирного дома формируется на счете регионального оператора, которым является истец.</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положениями </w:t>
      </w:r>
      <w:r>
        <w:rPr>
          <w:rFonts w:ascii="Times New Roman" w:eastAsia="Times New Roman" w:hAnsi="Times New Roman" w:cs="Times New Roman"/>
          <w:sz w:val="28"/>
          <w:rtl w:val="0"/>
        </w:rPr>
        <w:t>ст.ст</w:t>
      </w:r>
      <w:r>
        <w:rPr>
          <w:rFonts w:ascii="Times New Roman" w:eastAsia="Times New Roman" w:hAnsi="Times New Roman" w:cs="Times New Roman"/>
          <w:sz w:val="28"/>
          <w:rtl w:val="0"/>
        </w:rPr>
        <w:t>. 154, 158, 169, 171 ЖК РФ ответчик, как собственник жилого помещения обязан вносить взносы на капитальный ремонт на счет регионального оператора, однако соответствующую обязанность не выполняет, в связи с чем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образовалась задолженность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а также пени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начисленные</w:t>
      </w:r>
      <w:r>
        <w:rPr>
          <w:rFonts w:ascii="Times New Roman" w:eastAsia="Times New Roman" w:hAnsi="Times New Roman" w:cs="Times New Roman"/>
          <w:sz w:val="28"/>
          <w:rtl w:val="0"/>
        </w:rPr>
        <w:t xml:space="preserve"> на сумму задолженности, начиная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которые истец просил взыскивать по день фактического исполнения обязательства.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Судебный приказ на взыскание суммы задолженности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отменен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судебное заседание </w:t>
      </w:r>
      <w:r>
        <w:rPr>
          <w:rFonts w:ascii="Times New Roman" w:eastAsia="Times New Roman" w:hAnsi="Times New Roman" w:cs="Times New Roman"/>
          <w:sz w:val="28"/>
          <w:rtl w:val="0"/>
        </w:rPr>
        <w:t>представитель ист</w:t>
      </w:r>
      <w:r>
        <w:rPr>
          <w:rFonts w:ascii="Times New Roman" w:eastAsia="Times New Roman" w:hAnsi="Times New Roman" w:cs="Times New Roman"/>
          <w:sz w:val="28"/>
          <w:rtl w:val="0"/>
        </w:rPr>
        <w:t>ц</w:t>
      </w:r>
      <w:r>
        <w:rPr>
          <w:rFonts w:ascii="Times New Roman" w:eastAsia="Times New Roman" w:hAnsi="Times New Roman" w:cs="Times New Roman"/>
          <w:sz w:val="28"/>
          <w:rtl w:val="0"/>
        </w:rPr>
        <w:t xml:space="preserve">а, ответчик, надлежаще извещенные о времени и месте рассмотрения дела, не явились. От истца </w:t>
      </w:r>
      <w:r>
        <w:rPr>
          <w:rFonts w:ascii="Times New Roman" w:eastAsia="Times New Roman" w:hAnsi="Times New Roman" w:cs="Times New Roman"/>
          <w:sz w:val="28"/>
          <w:rtl w:val="0"/>
        </w:rPr>
        <w:t xml:space="preserve">поступило ходатайство о рассмотрении дела в отсутствие представителя.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Ответчик при подготовке дела к судебному разбирательству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подал заявление о применении срока исковой давности, а также о рассмотрении дела в его отсутствие.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 основании ч. 3 ст. 167 ГПК РФ дело рассмотрено в отсутствие неявившихся лиц, участвующих в деле.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Исследовав представленные доказательства, суд приходит к выводу о наличии оснований для </w:t>
      </w:r>
      <w:r>
        <w:rPr>
          <w:rFonts w:ascii="Times New Roman" w:eastAsia="Times New Roman" w:hAnsi="Times New Roman" w:cs="Times New Roman"/>
          <w:sz w:val="28"/>
          <w:rtl w:val="0"/>
        </w:rPr>
        <w:t xml:space="preserve">частичного </w:t>
      </w:r>
      <w:r>
        <w:rPr>
          <w:rFonts w:ascii="Times New Roman" w:eastAsia="Times New Roman" w:hAnsi="Times New Roman" w:cs="Times New Roman"/>
          <w:sz w:val="28"/>
          <w:rtl w:val="0"/>
        </w:rPr>
        <w:t>удовлетворения иска</w:t>
      </w:r>
      <w:r>
        <w:rPr>
          <w:rFonts w:ascii="Times New Roman" w:eastAsia="Times New Roman" w:hAnsi="Times New Roman" w:cs="Times New Roman"/>
          <w:sz w:val="28"/>
          <w:rtl w:val="0"/>
        </w:rPr>
        <w:t>, исходя из следующего</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соответствии с частью 2 статьи</w:t>
      </w:r>
      <w:r>
        <w:rPr>
          <w:rFonts w:ascii="Times New Roman" w:eastAsia="Times New Roman" w:hAnsi="Times New Roman" w:cs="Times New Roman"/>
          <w:sz w:val="28"/>
          <w:rtl w:val="0"/>
        </w:rPr>
        <w:t xml:space="preserve"> </w:t>
      </w:r>
      <w:hyperlink r:id="rId4" w:tgtFrame="_blank" w:history="1">
        <w:r>
          <w:rPr>
            <w:rFonts w:ascii="Times New Roman" w:eastAsia="Times New Roman" w:hAnsi="Times New Roman" w:cs="Times New Roman"/>
            <w:color w:val="0000FF"/>
            <w:sz w:val="28"/>
            <w:u w:val="single"/>
            <w:rtl w:val="0"/>
          </w:rPr>
          <w:t>154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части 1 статьи</w:t>
      </w:r>
      <w:r>
        <w:rPr>
          <w:rFonts w:ascii="Times New Roman" w:eastAsia="Times New Roman" w:hAnsi="Times New Roman" w:cs="Times New Roman"/>
          <w:sz w:val="28"/>
          <w:rtl w:val="0"/>
        </w:rPr>
        <w:t xml:space="preserve"> </w:t>
      </w:r>
      <w:hyperlink r:id="rId5" w:tgtFrame="_blank" w:history="1">
        <w:r>
          <w:rPr>
            <w:rFonts w:ascii="Times New Roman" w:eastAsia="Times New Roman" w:hAnsi="Times New Roman" w:cs="Times New Roman"/>
            <w:color w:val="0000FF"/>
            <w:sz w:val="28"/>
            <w:u w:val="single"/>
            <w:rtl w:val="0"/>
          </w:rPr>
          <w:t>169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sz w:val="28"/>
          <w:rtl w:val="0"/>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sz w:val="28"/>
          <w:rtl w:val="0"/>
        </w:rPr>
        <w:t xml:space="preserve"> (часть 3 статьи</w:t>
      </w:r>
      <w:r>
        <w:rPr>
          <w:rFonts w:ascii="Times New Roman" w:eastAsia="Times New Roman" w:hAnsi="Times New Roman" w:cs="Times New Roman"/>
          <w:sz w:val="28"/>
          <w:rtl w:val="0"/>
        </w:rPr>
        <w:t xml:space="preserve"> </w:t>
      </w:r>
      <w:hyperlink r:id="rId6" w:tgtFrame="_blank" w:history="1">
        <w:r>
          <w:rPr>
            <w:rFonts w:ascii="Times New Roman" w:eastAsia="Times New Roman" w:hAnsi="Times New Roman" w:cs="Times New Roman"/>
            <w:color w:val="0000FF"/>
            <w:sz w:val="28"/>
            <w:u w:val="single"/>
            <w:rtl w:val="0"/>
          </w:rPr>
          <w:t>158</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Из положений части 1 статьи</w:t>
      </w:r>
      <w:r>
        <w:rPr>
          <w:rFonts w:ascii="Times New Roman" w:eastAsia="Times New Roman" w:hAnsi="Times New Roman" w:cs="Times New Roman"/>
          <w:sz w:val="28"/>
          <w:rtl w:val="0"/>
        </w:rPr>
        <w:t xml:space="preserve"> </w:t>
      </w:r>
      <w:hyperlink r:id="rId7" w:tgtFrame="_blank" w:history="1">
        <w:r>
          <w:rPr>
            <w:rFonts w:ascii="Times New Roman" w:eastAsia="Times New Roman" w:hAnsi="Times New Roman" w:cs="Times New Roman"/>
            <w:color w:val="0000FF"/>
            <w:sz w:val="28"/>
            <w:u w:val="single"/>
            <w:rtl w:val="0"/>
          </w:rPr>
          <w:t>171</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следует,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 же согласно </w:t>
      </w:r>
      <w:r>
        <w:rPr>
          <w:rFonts w:ascii="Times New Roman" w:eastAsia="Times New Roman" w:hAnsi="Times New Roman" w:cs="Times New Roman"/>
          <w:sz w:val="28"/>
          <w:rtl w:val="0"/>
        </w:rPr>
        <w:t>абз</w:t>
      </w:r>
      <w:r>
        <w:rPr>
          <w:rFonts w:ascii="Times New Roman" w:eastAsia="Times New Roman" w:hAnsi="Times New Roman" w:cs="Times New Roman"/>
          <w:sz w:val="28"/>
          <w:rtl w:val="0"/>
        </w:rPr>
        <w:t xml:space="preserve">. 3-4 ч.1 Постановления Совета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753 «Об утверждении Региональной программы капитального ремонта общего имущества в многоквартирных домах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связи с изменениями в порядке финансирования капитального ремонта общего имущества многоквартирных домов, введенными Федеральным законом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271-ФЗ «О внесении изменений</w:t>
      </w:r>
      <w:r>
        <w:rPr>
          <w:rFonts w:ascii="Times New Roman" w:eastAsia="Times New Roman" w:hAnsi="Times New Roman" w:cs="Times New Roman"/>
          <w:sz w:val="28"/>
          <w:rtl w:val="0"/>
        </w:rPr>
        <w:t xml:space="preserve"> в Жилищный кодекс Российской Федерации и отдельные законодательные акты Российской Федерации и признании </w:t>
      </w:r>
      <w:r>
        <w:rPr>
          <w:rFonts w:ascii="Times New Roman" w:eastAsia="Times New Roman" w:hAnsi="Times New Roman" w:cs="Times New Roman"/>
          <w:sz w:val="28"/>
          <w:rtl w:val="0"/>
        </w:rPr>
        <w:t>утратившими</w:t>
      </w:r>
      <w:r>
        <w:rPr>
          <w:rFonts w:ascii="Times New Roman" w:eastAsia="Times New Roman" w:hAnsi="Times New Roman" w:cs="Times New Roman"/>
          <w:sz w:val="28"/>
          <w:rtl w:val="0"/>
        </w:rPr>
        <w:t xml:space="preserve"> силу отдельных положений законодательных актов Российской Федерации», обязанностью собственников помещений в многоквартирном доме уплачивать ежемесячные взносы на капитальный ремонт, необходимо принятие на региональном уровне долгосрочной программы капитального ремонта. </w:t>
      </w:r>
      <w:r>
        <w:rPr>
          <w:rFonts w:ascii="Times New Roman" w:eastAsia="Times New Roman" w:hAnsi="Times New Roman" w:cs="Times New Roman"/>
          <w:sz w:val="28"/>
          <w:rtl w:val="0"/>
        </w:rPr>
        <w:t xml:space="preserve">Программа формируется на 30-летний срок, необходимый для проведения капитального ремонта общего имущества во всех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 исключением случаев, </w:t>
      </w:r>
      <w:r>
        <w:rPr>
          <w:rFonts w:ascii="Times New Roman" w:eastAsia="Times New Roman" w:hAnsi="Times New Roman" w:cs="Times New Roman"/>
          <w:sz w:val="28"/>
          <w:rtl w:val="0"/>
        </w:rPr>
        <w:t xml:space="preserve">предусмотренных подпунктом 2 пункта 1 статьи 6 Закона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случае формирования фонда капитального ремонта на специальном счете, владельцем которого является региональный оператор,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либо лицом, указанным в пункте 9 части 2 статьи</w:t>
      </w:r>
      <w:r>
        <w:rPr>
          <w:rFonts w:ascii="Times New Roman" w:eastAsia="Times New Roman" w:hAnsi="Times New Roman" w:cs="Times New Roman"/>
          <w:sz w:val="28"/>
          <w:rtl w:val="0"/>
        </w:rPr>
        <w:t xml:space="preserve"> </w:t>
      </w:r>
      <w:hyperlink r:id="rId8" w:tgtFrame="_blank" w:history="1">
        <w:r>
          <w:rPr>
            <w:rFonts w:ascii="Times New Roman" w:eastAsia="Times New Roman" w:hAnsi="Times New Roman" w:cs="Times New Roman"/>
            <w:color w:val="0000FF"/>
            <w:sz w:val="28"/>
            <w:u w:val="single"/>
            <w:rtl w:val="0"/>
          </w:rPr>
          <w:t>182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в сроки, установленные для внесения платы за жилое помещение и коммунальные услуги (часть 2).</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Судом установлено и подтверждается выпиской из ЕГРН,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праве собственности принадлежит жилое помещение площадью 43,5 </w:t>
      </w:r>
      <w:r>
        <w:rPr>
          <w:rFonts w:ascii="Times New Roman" w:eastAsia="Times New Roman" w:hAnsi="Times New Roman" w:cs="Times New Roman"/>
          <w:sz w:val="28"/>
          <w:rtl w:val="0"/>
        </w:rPr>
        <w:t>кв.м</w:t>
      </w:r>
      <w:r>
        <w:rPr>
          <w:rFonts w:ascii="Times New Roman" w:eastAsia="Times New Roman" w:hAnsi="Times New Roman" w:cs="Times New Roman"/>
          <w:sz w:val="28"/>
          <w:rtl w:val="0"/>
        </w:rPr>
        <w:t xml:space="preserve">. – квартира № 19 </w:t>
      </w:r>
      <w:r>
        <w:rPr>
          <w:rFonts w:ascii="Times New Roman" w:eastAsia="Times New Roman" w:hAnsi="Times New Roman" w:cs="Times New Roman"/>
          <w:sz w:val="28"/>
          <w:rtl w:val="0"/>
        </w:rPr>
        <w:t>кадастровый</w:t>
      </w:r>
      <w:r>
        <w:rPr>
          <w:rFonts w:ascii="Times New Roman" w:eastAsia="Times New Roman" w:hAnsi="Times New Roman" w:cs="Times New Roman"/>
          <w:sz w:val="28"/>
          <w:rtl w:val="0"/>
        </w:rPr>
        <w:t xml:space="preserve"> №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:4206, расположенная в многоквартирном доме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кадастровый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:2493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Истец является региональным оператором</w:t>
      </w:r>
      <w:r>
        <w:rPr>
          <w:rFonts w:ascii="Times New Roman" w:eastAsia="Times New Roman" w:hAnsi="Times New Roman" w:cs="Times New Roman"/>
          <w:sz w:val="28"/>
          <w:rtl w:val="0"/>
        </w:rPr>
        <w:t xml:space="preserve">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Н</w:t>
      </w:r>
      <w:r>
        <w:rPr>
          <w:rFonts w:ascii="Times New Roman" w:eastAsia="Times New Roman" w:hAnsi="Times New Roman" w:cs="Times New Roman"/>
          <w:sz w:val="28"/>
          <w:rtl w:val="0"/>
        </w:rPr>
        <w:t xml:space="preserve">а счетах </w:t>
      </w:r>
      <w:r>
        <w:rPr>
          <w:rFonts w:ascii="Times New Roman" w:eastAsia="Times New Roman" w:hAnsi="Times New Roman" w:cs="Times New Roman"/>
          <w:sz w:val="28"/>
          <w:rtl w:val="0"/>
        </w:rPr>
        <w:t>истца</w:t>
      </w:r>
      <w:r>
        <w:rPr>
          <w:rFonts w:ascii="Times New Roman" w:eastAsia="Times New Roman" w:hAnsi="Times New Roman" w:cs="Times New Roman"/>
          <w:sz w:val="28"/>
          <w:rtl w:val="0"/>
        </w:rPr>
        <w:t xml:space="preserve"> формируется фонд капитального ремонта указанного многоквартирного дома</w:t>
      </w:r>
      <w:r>
        <w:rPr>
          <w:rFonts w:ascii="Times New Roman" w:eastAsia="Times New Roman" w:hAnsi="Times New Roman" w:cs="Times New Roman"/>
          <w:sz w:val="28"/>
          <w:rtl w:val="0"/>
        </w:rPr>
        <w:t xml:space="preserve"> в соответствии с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918, размещенного в свободном доступе в сети «Интернет» </w:t>
      </w:r>
      <w:hyperlink r:id="rId9" w:history="1">
        <w:r>
          <w:rPr>
            <w:rFonts w:ascii="Calibri" w:eastAsia="Calibri" w:hAnsi="Calibri" w:cs="Calibri"/>
            <w:color w:val="0000FF"/>
            <w:sz w:val="28"/>
            <w:u w:val="single"/>
            <w:rtl w:val="0"/>
          </w:rPr>
          <w:t>https://saki.rk.gov.ru/ru/document/show/1198</w:t>
        </w:r>
      </w:hyperlink>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Ответчик взносы на капитальный ремонт не уплачивает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что не оспаривалось им при подготовке дела к судебному разбирательству.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связи с несвоевременным исполнением обязанности по уплате взносов задолженность ответчика перед истцом за период</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составляет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пени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составили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что подтверждается выпиской по лицевому счету ответчика и расчетом пеней.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Правильность расчета ответчиком не оспорена, судом расчет проверен и признается надлежащим, в том числе с учетом моратория, действующего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основании Постановления Правительства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424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Вместе с </w:t>
      </w:r>
      <w:r>
        <w:rPr>
          <w:rFonts w:ascii="Times New Roman" w:eastAsia="Times New Roman" w:hAnsi="Times New Roman" w:cs="Times New Roman"/>
          <w:sz w:val="28"/>
          <w:rtl w:val="0"/>
        </w:rPr>
        <w:t xml:space="preserve">этим, из материалов дела следует, что ответчиком заявлено о применении исковой давности к требованиям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положениями части 1 статьи</w:t>
      </w:r>
      <w:r>
        <w:rPr>
          <w:rFonts w:ascii="Times New Roman" w:eastAsia="Times New Roman" w:hAnsi="Times New Roman" w:cs="Times New Roman"/>
          <w:sz w:val="28"/>
          <w:rtl w:val="0"/>
        </w:rPr>
        <w:t xml:space="preserve"> </w:t>
      </w:r>
      <w:hyperlink r:id="rId10" w:tgtFrame="_blank" w:history="1">
        <w:r>
          <w:rPr>
            <w:rFonts w:ascii="Times New Roman" w:eastAsia="Times New Roman" w:hAnsi="Times New Roman" w:cs="Times New Roman"/>
            <w:color w:val="0000FF"/>
            <w:sz w:val="28"/>
            <w:u w:val="single"/>
            <w:rtl w:val="0"/>
          </w:rPr>
          <w:t>196</w:t>
        </w:r>
      </w:hyperlink>
      <w:r>
        <w:rPr>
          <w:rFonts w:ascii="Times New Roman" w:eastAsia="Times New Roman" w:hAnsi="Times New Roman" w:cs="Times New Roman"/>
          <w:sz w:val="28"/>
          <w:rtl w:val="0"/>
        </w:rPr>
        <w:t>, части 1 статьи</w:t>
      </w:r>
      <w:r>
        <w:rPr>
          <w:rFonts w:ascii="Times New Roman" w:eastAsia="Times New Roman" w:hAnsi="Times New Roman" w:cs="Times New Roman"/>
          <w:sz w:val="28"/>
          <w:rtl w:val="0"/>
        </w:rPr>
        <w:t xml:space="preserve"> </w:t>
      </w:r>
      <w:hyperlink r:id="rId11" w:tgtFrame="_blank" w:history="1">
        <w:r>
          <w:rPr>
            <w:rFonts w:ascii="Times New Roman" w:eastAsia="Times New Roman" w:hAnsi="Times New Roman" w:cs="Times New Roman"/>
            <w:color w:val="0000FF"/>
            <w:sz w:val="28"/>
            <w:u w:val="single"/>
            <w:rtl w:val="0"/>
          </w:rPr>
          <w:t>200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Гражданского кодекса Российской Федерации общий срок исковой давности составляет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течение сроках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силу части 2 статьи</w:t>
      </w:r>
      <w:r>
        <w:rPr>
          <w:rFonts w:ascii="Times New Roman" w:eastAsia="Times New Roman" w:hAnsi="Times New Roman" w:cs="Times New Roman"/>
          <w:sz w:val="28"/>
          <w:rtl w:val="0"/>
        </w:rPr>
        <w:t xml:space="preserve"> </w:t>
      </w:r>
      <w:hyperlink r:id="rId12" w:tgtFrame="_blank" w:history="1">
        <w:r>
          <w:rPr>
            <w:rFonts w:ascii="Times New Roman" w:eastAsia="Times New Roman" w:hAnsi="Times New Roman" w:cs="Times New Roman"/>
            <w:color w:val="0000FF"/>
            <w:sz w:val="28"/>
            <w:u w:val="single"/>
            <w:rtl w:val="0"/>
          </w:rPr>
          <w:t>199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исковая давность применяется судом только по заявлению стороны в споре, сделанному до вынесения судом решения.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Пунктом 17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43 «О некоторых вопросах, связанных с применением норм Гражданского кодекса Российской Федерации об исковой давности» предусмотрено, что в силу пункта 1 статьи</w:t>
      </w:r>
      <w:r>
        <w:rPr>
          <w:rFonts w:ascii="Times New Roman" w:eastAsia="Times New Roman" w:hAnsi="Times New Roman" w:cs="Times New Roman"/>
          <w:sz w:val="28"/>
          <w:rtl w:val="0"/>
        </w:rPr>
        <w:t xml:space="preserve"> </w:t>
      </w:r>
      <w:hyperlink r:id="rId13"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w:t>
      </w:r>
      <w:r>
        <w:rPr>
          <w:rFonts w:ascii="Times New Roman" w:eastAsia="Times New Roman" w:hAnsi="Times New Roman" w:cs="Times New Roman"/>
          <w:sz w:val="28"/>
          <w:rtl w:val="0"/>
        </w:rPr>
        <w:t xml:space="preserve"> судебного приказа либо обращения в третейский суд, если такое заявление было принято к производству.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По смыслу статьи</w:t>
      </w:r>
      <w:r>
        <w:rPr>
          <w:rFonts w:ascii="Times New Roman" w:eastAsia="Times New Roman" w:hAnsi="Times New Roman" w:cs="Times New Roman"/>
          <w:sz w:val="28"/>
          <w:rtl w:val="0"/>
        </w:rPr>
        <w:t xml:space="preserve"> </w:t>
      </w:r>
      <w:hyperlink r:id="rId13"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w:t>
      </w:r>
      <w:r>
        <w:rPr>
          <w:rFonts w:ascii="Times New Roman" w:eastAsia="Times New Roman" w:hAnsi="Times New Roman" w:cs="Times New Roman"/>
          <w:sz w:val="28"/>
          <w:rtl w:val="0"/>
        </w:rPr>
        <w:t xml:space="preserve"> </w:t>
      </w:r>
      <w:hyperlink r:id="rId14" w:tgtFrame="_blank" w:history="1">
        <w:r>
          <w:rPr>
            <w:rFonts w:ascii="Times New Roman" w:eastAsia="Times New Roman" w:hAnsi="Times New Roman" w:cs="Times New Roman"/>
            <w:color w:val="0000FF"/>
            <w:sz w:val="28"/>
            <w:u w:val="single"/>
            <w:rtl w:val="0"/>
          </w:rPr>
          <w:t>220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8"/>
          <w:rtl w:val="0"/>
        </w:rPr>
        <w:t>неистекшая</w:t>
      </w:r>
      <w:r>
        <w:rPr>
          <w:rFonts w:ascii="Times New Roman" w:eastAsia="Times New Roman" w:hAnsi="Times New Roman" w:cs="Times New Roman"/>
          <w:sz w:val="28"/>
          <w:rtl w:val="0"/>
        </w:rPr>
        <w:t xml:space="preserve"> часть срока исковой давности составляет менее шести месяцев, она удлиняется до шести месяцев (пункт 1 статьи</w:t>
      </w:r>
      <w:r>
        <w:rPr>
          <w:rFonts w:ascii="Times New Roman" w:eastAsia="Times New Roman" w:hAnsi="Times New Roman" w:cs="Times New Roman"/>
          <w:sz w:val="28"/>
          <w:rtl w:val="0"/>
        </w:rPr>
        <w:t xml:space="preserve"> </w:t>
      </w:r>
      <w:hyperlink r:id="rId15" w:tgtFrame="_blank" w:history="1">
        <w:r>
          <w:rPr>
            <w:rFonts w:ascii="Times New Roman" w:eastAsia="Times New Roman" w:hAnsi="Times New Roman" w:cs="Times New Roman"/>
            <w:color w:val="0000FF"/>
            <w:sz w:val="28"/>
            <w:u w:val="single"/>
            <w:rtl w:val="0"/>
          </w:rPr>
          <w:t>6</w:t>
        </w:r>
      </w:hyperlink>
      <w:r>
        <w:rPr>
          <w:rFonts w:ascii="Times New Roman" w:eastAsia="Times New Roman" w:hAnsi="Times New Roman" w:cs="Times New Roman"/>
          <w:sz w:val="28"/>
          <w:rtl w:val="0"/>
        </w:rPr>
        <w:t>, пункт 3 статьи</w:t>
      </w:r>
      <w:r>
        <w:rPr>
          <w:rFonts w:ascii="Times New Roman" w:eastAsia="Times New Roman" w:hAnsi="Times New Roman" w:cs="Times New Roman"/>
          <w:sz w:val="28"/>
          <w:rtl w:val="0"/>
        </w:rPr>
        <w:t xml:space="preserve"> </w:t>
      </w:r>
      <w:hyperlink r:id="rId13" w:tgtFrame="_blank" w:history="1">
        <w:r>
          <w:rPr>
            <w:rFonts w:ascii="Times New Roman" w:eastAsia="Times New Roman" w:hAnsi="Times New Roman" w:cs="Times New Roman"/>
            <w:color w:val="0000FF"/>
            <w:sz w:val="28"/>
            <w:u w:val="single"/>
            <w:rtl w:val="0"/>
          </w:rPr>
          <w:t>204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абзацу 2 пункта 41 постановления Пленума Верховного Суда Российской Федерации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w:t>
      </w:r>
      <w:r>
        <w:rPr>
          <w:rFonts w:ascii="Times New Roman" w:eastAsia="Times New Roman" w:hAnsi="Times New Roman" w:cs="Times New Roman"/>
          <w:sz w:val="28"/>
          <w:rtl w:val="0"/>
        </w:rPr>
        <w:t xml:space="preserve"> отдельно по каждому ежемесячному платежу (часть 1 статьи</w:t>
      </w:r>
      <w:r>
        <w:rPr>
          <w:rFonts w:ascii="Times New Roman" w:eastAsia="Times New Roman" w:hAnsi="Times New Roman" w:cs="Times New Roman"/>
          <w:sz w:val="28"/>
          <w:rtl w:val="0"/>
        </w:rPr>
        <w:t xml:space="preserve"> </w:t>
      </w:r>
      <w:hyperlink r:id="rId16" w:tgtFrame="_blank" w:history="1">
        <w:r>
          <w:rPr>
            <w:rFonts w:ascii="Times New Roman" w:eastAsia="Times New Roman" w:hAnsi="Times New Roman" w:cs="Times New Roman"/>
            <w:color w:val="0000FF"/>
            <w:sz w:val="28"/>
            <w:u w:val="single"/>
            <w:rtl w:val="0"/>
          </w:rPr>
          <w:t>155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и пункт 2 статьи</w:t>
      </w:r>
      <w:r>
        <w:rPr>
          <w:rFonts w:ascii="Times New Roman" w:eastAsia="Times New Roman" w:hAnsi="Times New Roman" w:cs="Times New Roman"/>
          <w:sz w:val="28"/>
          <w:rtl w:val="0"/>
        </w:rPr>
        <w:t xml:space="preserve"> </w:t>
      </w:r>
      <w:hyperlink r:id="rId11" w:tgtFrame="_blank" w:history="1">
        <w:r>
          <w:rPr>
            <w:rFonts w:ascii="Times New Roman" w:eastAsia="Times New Roman" w:hAnsi="Times New Roman" w:cs="Times New Roman"/>
            <w:color w:val="0000FF"/>
            <w:sz w:val="28"/>
            <w:u w:val="single"/>
            <w:rtl w:val="0"/>
          </w:rPr>
          <w:t>200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Из материалов дела следует, что </w:t>
      </w:r>
      <w:r>
        <w:rPr>
          <w:rFonts w:ascii="Times New Roman" w:eastAsia="Times New Roman" w:hAnsi="Times New Roman" w:cs="Times New Roman"/>
          <w:sz w:val="28"/>
          <w:rtl w:val="0"/>
        </w:rPr>
        <w:t xml:space="preserve">истец обратился к мировому судье с заявлением о вынесении судебного приказа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Судебны</w:t>
      </w:r>
      <w:r>
        <w:rPr>
          <w:rFonts w:ascii="Times New Roman" w:eastAsia="Times New Roman" w:hAnsi="Times New Roman" w:cs="Times New Roman"/>
          <w:sz w:val="28"/>
          <w:rtl w:val="0"/>
        </w:rPr>
        <w:t>й приказ</w:t>
      </w:r>
      <w:r>
        <w:rPr>
          <w:rFonts w:ascii="Times New Roman" w:eastAsia="Times New Roman" w:hAnsi="Times New Roman" w:cs="Times New Roman"/>
          <w:sz w:val="28"/>
          <w:rtl w:val="0"/>
        </w:rPr>
        <w:t xml:space="preserve"> мировым судьей вынесен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Определени</w:t>
      </w:r>
      <w:r>
        <w:rPr>
          <w:rFonts w:ascii="Times New Roman" w:eastAsia="Times New Roman" w:hAnsi="Times New Roman" w:cs="Times New Roman"/>
          <w:sz w:val="28"/>
          <w:rtl w:val="0"/>
        </w:rPr>
        <w:t>ем</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причины пропуска срока на подачу возражений относительно исполнения судебного приказа признаны уважительными, </w:t>
      </w:r>
      <w:r>
        <w:rPr>
          <w:rFonts w:ascii="Times New Roman" w:eastAsia="Times New Roman" w:hAnsi="Times New Roman" w:cs="Times New Roman"/>
          <w:sz w:val="28"/>
          <w:rtl w:val="0"/>
        </w:rPr>
        <w:t>судебны</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приказ отменен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9,10</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 настоящим иском в суд истец обратился </w:t>
      </w:r>
      <w:r>
        <w:rPr>
          <w:rFonts w:ascii="Times New Roman" w:eastAsia="Times New Roman" w:hAnsi="Times New Roman" w:cs="Times New Roman"/>
          <w:sz w:val="28"/>
          <w:rtl w:val="0"/>
        </w:rPr>
        <w:t xml:space="preserve">по почте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Принимая во внимание обращение истца к мировому судье, сроки оплаты взносов на капитальный ремонт (10 число месяца следующего за периодом начисления задолженности), суд приходит к выводу, что срок исковой давности по требованиям о взыскании с ответчиков задолженности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май 2019 (включительно) истек, в </w:t>
      </w:r>
      <w:r>
        <w:rPr>
          <w:rFonts w:ascii="Times New Roman" w:eastAsia="Times New Roman" w:hAnsi="Times New Roman" w:cs="Times New Roman"/>
          <w:sz w:val="28"/>
          <w:rtl w:val="0"/>
        </w:rPr>
        <w:t>связи</w:t>
      </w:r>
      <w:r>
        <w:rPr>
          <w:rFonts w:ascii="Times New Roman" w:eastAsia="Times New Roman" w:hAnsi="Times New Roman" w:cs="Times New Roman"/>
          <w:sz w:val="28"/>
          <w:rtl w:val="0"/>
        </w:rPr>
        <w:t xml:space="preserve"> с чем за указанный период исковые требования удовлетворению не подлежат.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Таким образом,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пользу Фонда подлежит взысканию задолженность по уплате взносов на капитальный ремонт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с ч. 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ст. 155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соответствии</w:t>
      </w:r>
      <w:r>
        <w:rPr>
          <w:rFonts w:ascii="Times New Roman" w:eastAsia="Times New Roman" w:hAnsi="Times New Roman" w:cs="Times New Roman"/>
          <w:sz w:val="28"/>
          <w:rtl w:val="0"/>
        </w:rPr>
        <w:t xml:space="preserve"> с федеральным законом о таком кооперативе.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пунктом 14 статьи</w:t>
      </w:r>
      <w:r>
        <w:rPr>
          <w:rFonts w:ascii="Times New Roman" w:eastAsia="Times New Roman" w:hAnsi="Times New Roman" w:cs="Times New Roman"/>
          <w:sz w:val="28"/>
          <w:rtl w:val="0"/>
        </w:rPr>
        <w:t xml:space="preserve"> </w:t>
      </w:r>
      <w:hyperlink r:id="rId16" w:tgtFrame="_blank" w:history="1">
        <w:r>
          <w:rPr>
            <w:rFonts w:ascii="Times New Roman" w:eastAsia="Times New Roman" w:hAnsi="Times New Roman" w:cs="Times New Roman"/>
            <w:color w:val="0000FF"/>
            <w:sz w:val="28"/>
            <w:u w:val="single"/>
            <w:rtl w:val="0"/>
          </w:rPr>
          <w:t>155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8"/>
          <w:rtl w:val="0"/>
        </w:rPr>
        <w:t>суммы</w:t>
      </w:r>
      <w:r>
        <w:rPr>
          <w:rFonts w:ascii="Times New Roman" w:eastAsia="Times New Roman" w:hAnsi="Times New Roman" w:cs="Times New Roman"/>
          <w:sz w:val="28"/>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8"/>
          <w:rtl w:val="0"/>
        </w:rPr>
        <w:t>стотридцатой</w:t>
      </w:r>
      <w:r>
        <w:rPr>
          <w:rFonts w:ascii="Times New Roman" w:eastAsia="Times New Roman" w:hAnsi="Times New Roman" w:cs="Times New Roman"/>
          <w:sz w:val="28"/>
          <w:rtl w:val="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Договор управления многоквартирным домом либо решение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в материалы дела не представлено, соответственно срок внесения оплаты определяется в соответствии с вышеприведенными нормами жилищного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Как разъяснено в </w:t>
      </w:r>
      <w:r>
        <w:rPr>
          <w:rFonts w:ascii="Times New Roman" w:eastAsia="Times New Roman" w:hAnsi="Times New Roman" w:cs="Times New Roman"/>
          <w:sz w:val="28"/>
          <w:rtl w:val="0"/>
        </w:rPr>
        <w:t>п.п</w:t>
      </w:r>
      <w:r>
        <w:rPr>
          <w:rFonts w:ascii="Times New Roman" w:eastAsia="Times New Roman" w:hAnsi="Times New Roman" w:cs="Times New Roman"/>
          <w:sz w:val="28"/>
          <w:rtl w:val="0"/>
        </w:rPr>
        <w:t xml:space="preserve">. 25, 26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43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некоторых вопросах, связанных с применением норм Гражданского кодекса Российской </w:t>
      </w:r>
      <w:r>
        <w:rPr>
          <w:rFonts w:ascii="Times New Roman" w:eastAsia="Times New Roman" w:hAnsi="Times New Roman" w:cs="Times New Roman"/>
          <w:sz w:val="28"/>
          <w:rtl w:val="0"/>
        </w:rPr>
        <w:t>Федерации об исковой давности» с</w:t>
      </w:r>
      <w:r>
        <w:rPr>
          <w:rFonts w:ascii="Times New Roman" w:eastAsia="Times New Roman" w:hAnsi="Times New Roman" w:cs="Times New Roman"/>
          <w:sz w:val="28"/>
          <w:rtl w:val="0"/>
        </w:rPr>
        <w:t>рок исковой давности по требованию о взыскании неустойки (статья 330 ГК РФ) или процентов, подлежащих уплате по правилам статьи 395 ГК РФ, исчисляется отдельно по каждому просроченному</w:t>
      </w:r>
      <w:r>
        <w:rPr>
          <w:rFonts w:ascii="Times New Roman" w:eastAsia="Times New Roman" w:hAnsi="Times New Roman" w:cs="Times New Roman"/>
          <w:sz w:val="28"/>
          <w:rtl w:val="0"/>
        </w:rPr>
        <w:t xml:space="preserve"> платежу, определяемому применительно к каждому дню просрочки.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Признание обязанным лицом основного долга, в том числе в форме его уплаты, само по себе не может служить доказательством, свидетельствующим о признании дополнительных требований кредитора (в частности, неустойки, процентов за пользование чужими денежными средствами), а также требований по возмещению убытков, и, соответственно, не может расцениваться как основание перерыва течения срока исковой давности по дополнительным требованиям и требованию о возмещении убытков.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Аналогичным образом исчисляется срок исковой давности по требованию о взыскании процентов на сумму долга за период пользования денежными средствами (статья 317.1 ГК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Предъявление в суд главного требования не влияет на течение срока исковой давности по дополнительным требованиям (статья 207 ГК РФ). Например, в случае предъявления иска о взыскании лишь суммы основного долга срок исковой давности по требованию о взыскании неустойки продолжает течь.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пункту 1 статьи 207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Установив, что срок исковой давности по требованиям об уплате взносов на капитальный ремонт за период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включительно истек, суд приходит к выводу о том, что истек и срок исковой давности по требованиям о взыскании пеней за соответствующий период.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Установив виновное нарушение </w:t>
      </w:r>
      <w:r>
        <w:rPr>
          <w:rFonts w:ascii="Times New Roman" w:eastAsia="Times New Roman" w:hAnsi="Times New Roman" w:cs="Times New Roman"/>
          <w:sz w:val="28"/>
          <w:rtl w:val="0"/>
        </w:rPr>
        <w:t>ответчиком</w:t>
      </w:r>
      <w:r>
        <w:rPr>
          <w:rFonts w:ascii="Times New Roman" w:eastAsia="Times New Roman" w:hAnsi="Times New Roman" w:cs="Times New Roman"/>
          <w:sz w:val="28"/>
          <w:rtl w:val="0"/>
        </w:rPr>
        <w:t xml:space="preserve"> обязанности по внесению взносов на капитальный ремонт, </w:t>
      </w:r>
      <w:r>
        <w:rPr>
          <w:rFonts w:ascii="Times New Roman" w:eastAsia="Times New Roman" w:hAnsi="Times New Roman" w:cs="Times New Roman"/>
          <w:sz w:val="28"/>
          <w:rtl w:val="0"/>
        </w:rPr>
        <w:t xml:space="preserve">применив срок исковой давности к заявленным требованиям, суд считает необходимым произвести расчет пеней с учетом </w:t>
      </w:r>
      <w:r>
        <w:rPr>
          <w:rFonts w:ascii="Times New Roman" w:eastAsia="Times New Roman" w:hAnsi="Times New Roman" w:cs="Times New Roman"/>
          <w:sz w:val="28"/>
          <w:rtl w:val="0"/>
        </w:rPr>
        <w:t>сумм взносов на капитальный ремонт</w:t>
      </w:r>
      <w:r>
        <w:rPr>
          <w:rFonts w:ascii="Times New Roman" w:eastAsia="Times New Roman" w:hAnsi="Times New Roman" w:cs="Times New Roman"/>
          <w:sz w:val="28"/>
          <w:rtl w:val="0"/>
        </w:rPr>
        <w:t>, подлежащ</w:t>
      </w:r>
      <w:r>
        <w:rPr>
          <w:rFonts w:ascii="Times New Roman" w:eastAsia="Times New Roman" w:hAnsi="Times New Roman" w:cs="Times New Roman"/>
          <w:sz w:val="28"/>
          <w:rtl w:val="0"/>
        </w:rPr>
        <w:t>их</w:t>
      </w:r>
      <w:r>
        <w:rPr>
          <w:rFonts w:ascii="Times New Roman" w:eastAsia="Times New Roman" w:hAnsi="Times New Roman" w:cs="Times New Roman"/>
          <w:sz w:val="28"/>
          <w:rtl w:val="0"/>
        </w:rPr>
        <w:t xml:space="preserve"> взысканию</w:t>
      </w:r>
      <w:r>
        <w:rPr>
          <w:rFonts w:ascii="Times New Roman" w:eastAsia="Times New Roman" w:hAnsi="Times New Roman" w:cs="Times New Roman"/>
          <w:sz w:val="28"/>
          <w:rtl w:val="0"/>
        </w:rPr>
        <w:t xml:space="preserve"> за спорный период, и, принимая во внимание, что взносы до настоящего времени не оплачены, рассчитать пени по день вынесения решения суда, </w:t>
      </w:r>
      <w:r>
        <w:rPr>
          <w:rFonts w:ascii="Times New Roman" w:eastAsia="Times New Roman" w:hAnsi="Times New Roman" w:cs="Times New Roman"/>
          <w:sz w:val="28"/>
          <w:rtl w:val="0"/>
        </w:rPr>
        <w:t>с учетом заявленных требований о взыскании</w:t>
      </w:r>
      <w:r>
        <w:rPr>
          <w:rFonts w:ascii="Times New Roman" w:eastAsia="Times New Roman" w:hAnsi="Times New Roman" w:cs="Times New Roman"/>
          <w:sz w:val="28"/>
          <w:rtl w:val="0"/>
        </w:rPr>
        <w:t xml:space="preserve"> пеней по день фактического исполнения обязательства</w:t>
      </w:r>
      <w:r>
        <w:rPr>
          <w:rFonts w:ascii="Times New Roman" w:eastAsia="Times New Roman" w:hAnsi="Times New Roman" w:cs="Times New Roman"/>
          <w:sz w:val="28"/>
          <w:rtl w:val="0"/>
        </w:rPr>
        <w:t>:</w:t>
      </w:r>
    </w:p>
    <w:tbl>
      <w:tblPr>
        <w:tblW w:w="9782" w:type="dxa"/>
        <w:jc w:val="left"/>
        <w:tblInd w:w="0" w:type="dxa"/>
        <w:tblCellMar>
          <w:top w:w="0" w:type="dxa"/>
          <w:left w:w="0" w:type="dxa"/>
          <w:bottom w:w="0" w:type="dxa"/>
          <w:right w:w="0" w:type="dxa"/>
        </w:tblCellMar>
      </w:tblPr>
      <w:tblGrid>
        <w:gridCol w:w="1015"/>
        <w:gridCol w:w="1069"/>
        <w:gridCol w:w="976"/>
        <w:gridCol w:w="1222"/>
        <w:gridCol w:w="1222"/>
        <w:gridCol w:w="838"/>
        <w:gridCol w:w="779"/>
        <w:gridCol w:w="878"/>
        <w:gridCol w:w="932"/>
        <w:gridCol w:w="851"/>
      </w:tblGrid>
      <w:tr>
        <w:tblPrEx>
          <w:tblW w:w="9782" w:type="dxa"/>
          <w:jc w:val="left"/>
          <w:tblInd w:w="0" w:type="dxa"/>
          <w:tblCellMar>
            <w:top w:w="0" w:type="dxa"/>
            <w:left w:w="0" w:type="dxa"/>
            <w:bottom w:w="0" w:type="dxa"/>
            <w:right w:w="0" w:type="dxa"/>
          </w:tblCellMar>
        </w:tblPrEx>
        <w:trPr>
          <w:trHeight w:val="799"/>
          <w:jc w:val="left"/>
        </w:trPr>
        <w:tc>
          <w:tcPr>
            <w:tcW w:w="8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Месяц</w:t>
            </w:r>
            <w:r>
              <w:rPr>
                <w:rFonts w:ascii="Times New Roman" w:eastAsia="Times New Roman" w:hAnsi="Times New Roman" w:cs="Times New Roman"/>
                <w:sz w:val="18"/>
                <w:rtl w:val="0"/>
              </w:rPr>
              <w:t xml:space="preserve"> платежа</w:t>
            </w:r>
          </w:p>
        </w:tc>
        <w:tc>
          <w:tcPr>
            <w:tcW w:w="8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Начислено</w:t>
            </w:r>
          </w:p>
        </w:tc>
        <w:tc>
          <w:tcPr>
            <w:tcW w:w="85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Долг</w:t>
            </w:r>
          </w:p>
        </w:tc>
        <w:tc>
          <w:tcPr>
            <w:gridSpan w:val="3"/>
            <w:tcBorders>
              <w:top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Период просрочки</w:t>
            </w:r>
          </w:p>
        </w:tc>
        <w:tc>
          <w:tcPr>
            <w:tcW w:w="5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Ставка</w:t>
            </w:r>
          </w:p>
        </w:tc>
        <w:tc>
          <w:tcPr>
            <w:tcW w:w="7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Доля ставки</w:t>
            </w:r>
          </w:p>
        </w:tc>
        <w:tc>
          <w:tcPr>
            <w:tcW w:w="226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Формула</w:t>
            </w:r>
          </w:p>
        </w:tc>
        <w:tc>
          <w:tcPr>
            <w:tcW w:w="7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Пени</w:t>
            </w:r>
          </w:p>
        </w:tc>
      </w:tr>
      <w:tr>
        <w:tblPrEx>
          <w:tblW w:w="9782" w:type="dxa"/>
          <w:jc w:val="left"/>
          <w:tblInd w:w="0" w:type="dxa"/>
          <w:tblCellMar>
            <w:top w:w="0" w:type="dxa"/>
            <w:left w:w="0" w:type="dxa"/>
            <w:bottom w:w="0" w:type="dxa"/>
            <w:right w:w="0" w:type="dxa"/>
          </w:tblCellMar>
        </w:tblPrEx>
        <w:trPr>
          <w:trHeight w:val="799"/>
          <w:jc w:val="left"/>
        </w:trPr>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по</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дней</w:t>
            </w: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center"/>
              <w:rPr>
                <w:rtl w:val="0"/>
              </w:rPr>
            </w:pPr>
          </w:p>
        </w:tc>
      </w:tr>
      <w:tr>
        <w:tblPrEx>
          <w:tblW w:w="9782" w:type="dxa"/>
          <w:jc w:val="left"/>
          <w:tblInd w:w="0" w:type="dxa"/>
          <w:tblCellMar>
            <w:top w:w="0" w:type="dxa"/>
            <w:left w:w="0" w:type="dxa"/>
            <w:bottom w:w="0" w:type="dxa"/>
            <w:right w:w="0" w:type="dxa"/>
          </w:tblCellMar>
        </w:tblPrEx>
        <w:trPr>
          <w:trHeight w:val="255"/>
          <w:jc w:val="left"/>
        </w:trPr>
        <w:tc>
          <w:tcPr>
            <w:tcW w:w="851" w:type="dxa"/>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w:t>
            </w:r>
          </w:p>
        </w:tc>
        <w:tc>
          <w:tcPr>
            <w:tcW w:w="851"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3</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4</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6</w:t>
            </w: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10</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июн.</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(1364-270)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73,29</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июл</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(1332-270)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71,14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авг.</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(1301-270)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69,07</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сен.</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(1272-270)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67,12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окт.</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(1241-270)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65,05</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ноя.</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(1211-270)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63,04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дек.</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(1178-270)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60,83</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янв.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(1149-270)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58,88</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фев.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(30-4)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(1120-266)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мар</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(1087-233)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апр.</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(1058-204)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май.</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(1028-174)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июн</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(996-142)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июл</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(967-113)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авг.</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r>
              <w:rPr>
                <w:rFonts w:ascii="Times New Roman" w:eastAsia="Times New Roman" w:hAnsi="Times New Roman" w:cs="Times New Roman"/>
                <w:sz w:val="18"/>
                <w:rtl w:val="0"/>
              </w:rPr>
              <w:t>%</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 xml:space="preserve">267.96 x (936-82) x 1/300 x </w:t>
            </w:r>
            <w:r>
              <w:rPr>
                <w:rFonts w:ascii="Times New Roman" w:eastAsia="Times New Roman" w:hAnsi="Times New Roman" w:cs="Times New Roman"/>
                <w:sz w:val="18"/>
                <w:rtl w:val="0"/>
              </w:rPr>
              <w:t>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сен.</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(905-51)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окт.</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(875-21)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57,21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ноя.</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,96</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(30-21)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267,96</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267.96 x 845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56,61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дек.</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814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57,54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янв.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783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55,35</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фев.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755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53,37</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мар</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723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51,11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апр.</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694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49,06</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май.</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663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46,87</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июн</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632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44,67</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июл</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602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42,55</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авг.</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569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40,22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сен.</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541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38,24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окт.</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510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36,05</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ноя.</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478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33,79</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дек.</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,75</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282,75</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282.75 x 449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31,74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янв.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r>
              <w:rPr>
                <w:rFonts w:ascii="Times New Roman" w:eastAsia="Times New Roman" w:hAnsi="Times New Roman" w:cs="Times New Roman"/>
                <w:sz w:val="18"/>
                <w:rtl w:val="0"/>
              </w:rPr>
              <w:t>%</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418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30,91</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фев.</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390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28,84</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мар</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359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26,55</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апр.</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329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24,33</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май.</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295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21,82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июн</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268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19,82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июл</w:t>
            </w:r>
            <w:r>
              <w:rPr>
                <w:rFonts w:ascii="Times New Roman" w:eastAsia="Times New Roman" w:hAnsi="Times New Roman" w:cs="Times New Roman"/>
                <w:sz w:val="1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237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17,53</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авг.</w:t>
            </w: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205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15,16</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сен.</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176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13,02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окт.</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145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10,72</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ноя.</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114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8,43</w:t>
            </w:r>
          </w:p>
        </w:tc>
      </w:tr>
      <w:tr>
        <w:tblPrEx>
          <w:tblW w:w="9782" w:type="dxa"/>
          <w:jc w:val="left"/>
          <w:tblInd w:w="0" w:type="dxa"/>
          <w:tblCellMar>
            <w:top w:w="0" w:type="dxa"/>
            <w:left w:w="0" w:type="dxa"/>
            <w:bottom w:w="0" w:type="dxa"/>
            <w:right w:w="0" w:type="dxa"/>
          </w:tblCellMar>
        </w:tblPrEx>
        <w:trPr>
          <w:trHeight w:val="255"/>
          <w:jc w:val="left"/>
        </w:trPr>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дек.</w:t>
            </w:r>
          </w:p>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телефон</w:t>
            </w:r>
          </w:p>
        </w:tc>
        <w:tc>
          <w:tcPr>
            <w:tcW w:w="851" w:type="dxa"/>
            <w:vMerge w:val="restart"/>
            <w:tcBorders>
              <w:left w:val="single" w:sz="4" w:space="0" w:color="000000"/>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,8</w:t>
            </w: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30 x 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0</w:t>
            </w:r>
          </w:p>
        </w:tc>
      </w:tr>
      <w:tr>
        <w:tblPrEx>
          <w:tblW w:w="9782" w:type="dxa"/>
          <w:jc w:val="left"/>
          <w:tblInd w:w="0" w:type="dxa"/>
          <w:tblCellMar>
            <w:top w:w="0" w:type="dxa"/>
            <w:left w:w="0" w:type="dxa"/>
            <w:bottom w:w="0" w:type="dxa"/>
            <w:right w:w="0" w:type="dxa"/>
          </w:tblCellMar>
        </w:tblPrEx>
        <w:trPr>
          <w:trHeight w:val="255"/>
          <w:jc w:val="left"/>
        </w:trPr>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0" w:type="auto"/>
            <w:vMerge/>
            <w:tcBorders>
              <w:left w:val="single" w:sz="4" w:space="0" w:color="000000"/>
              <w:bottom w:val="single" w:sz="4" w:space="0" w:color="000000"/>
              <w:right w:val="single" w:sz="4" w:space="0" w:color="000000"/>
            </w:tcBorders>
            <w:vAlign w:val="center"/>
          </w:tcPr>
          <w:p>
            <w:pPr>
              <w:bidi w:val="0"/>
              <w:spacing w:before="0" w:beforeAutospacing="0" w:after="0" w:afterAutospacing="0"/>
              <w:ind w:left="0" w:right="0"/>
              <w:jc w:val="right"/>
              <w:rPr>
                <w:rtl w:val="0"/>
              </w:rPr>
            </w:pPr>
          </w:p>
        </w:tc>
        <w:tc>
          <w:tcPr>
            <w:tcW w:w="850"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295,8</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1134"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дата</w:t>
            </w:r>
            <w:r>
              <w:rPr>
                <w:rFonts w:ascii="Times New Roman" w:eastAsia="Times New Roman" w:hAnsi="Times New Roman" w:cs="Times New Roman"/>
                <w:sz w:val="18"/>
                <w:rtl w:val="0"/>
              </w:rPr>
              <w:t>телефон</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p>
        </w:tc>
        <w:tc>
          <w:tcPr>
            <w:tcW w:w="567"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.50%</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center"/>
              <w:rPr>
                <w:rtl w:val="0"/>
              </w:rPr>
            </w:pPr>
            <w:r>
              <w:rPr>
                <w:rFonts w:ascii="Times New Roman" w:eastAsia="Times New Roman" w:hAnsi="Times New Roman" w:cs="Times New Roman"/>
                <w:sz w:val="18"/>
                <w:rtl w:val="0"/>
              </w:rPr>
              <w:t>1/300</w:t>
            </w:r>
          </w:p>
        </w:tc>
        <w:tc>
          <w:tcPr>
            <w:tcW w:w="2268"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295.8 x 84 x 1/300 x 7.5%</w:t>
            </w:r>
          </w:p>
        </w:tc>
        <w:tc>
          <w:tcPr>
            <w:tcW w:w="709" w:type="dxa"/>
            <w:tcBorders>
              <w:bottom w:val="single" w:sz="4" w:space="0" w:color="000000"/>
              <w:right w:val="single" w:sz="4" w:space="0" w:color="000000"/>
            </w:tcBorders>
            <w:tcMar>
              <w:left w:w="108" w:type="dxa"/>
              <w:right w:w="108" w:type="dxa"/>
            </w:tcMar>
            <w:vAlign w:val="center"/>
          </w:tcPr>
          <w:p>
            <w:pPr>
              <w:bidi w:val="0"/>
              <w:spacing w:before="0" w:beforeAutospacing="0" w:after="0" w:afterAutospacing="0"/>
              <w:ind w:left="0" w:right="0"/>
              <w:jc w:val="right"/>
              <w:rPr>
                <w:rtl w:val="0"/>
              </w:rPr>
            </w:pPr>
            <w:r>
              <w:rPr>
                <w:rFonts w:ascii="Times New Roman" w:eastAsia="Times New Roman" w:hAnsi="Times New Roman" w:cs="Times New Roman"/>
                <w:sz w:val="18"/>
                <w:rtl w:val="0"/>
              </w:rPr>
              <w:t>6,21</w:t>
            </w:r>
          </w:p>
        </w:tc>
      </w:tr>
      <w:tr>
        <w:tblPrEx>
          <w:tblW w:w="9782" w:type="dxa"/>
          <w:jc w:val="left"/>
          <w:tblInd w:w="0" w:type="dxa"/>
          <w:tblCellMar>
            <w:top w:w="0" w:type="dxa"/>
            <w:left w:w="0" w:type="dxa"/>
            <w:bottom w:w="0" w:type="dxa"/>
            <w:right w:w="0" w:type="dxa"/>
          </w:tblCellMar>
        </w:tblPrEx>
        <w:trPr>
          <w:trHeight w:val="255"/>
          <w:jc w:val="left"/>
        </w:trPr>
        <w:tc>
          <w:tcPr>
            <w:gridSpan w:val="10"/>
            <w:tcMar>
              <w:left w:w="108" w:type="dxa"/>
              <w:right w:w="108" w:type="dxa"/>
            </w:tcMar>
            <w:vAlign w:val="center"/>
          </w:tcPr>
          <w:p>
            <w:pPr>
              <w:bidi w:val="0"/>
              <w:spacing w:before="0" w:beforeAutospacing="0" w:after="0" w:afterAutospacing="0"/>
              <w:ind w:left="0" w:right="0"/>
              <w:jc w:val="left"/>
              <w:rPr>
                <w:rtl w:val="0"/>
              </w:rPr>
            </w:pPr>
            <w:r>
              <w:rPr>
                <w:rFonts w:ascii="Times New Roman" w:eastAsia="Times New Roman" w:hAnsi="Times New Roman" w:cs="Times New Roman"/>
                <w:sz w:val="28"/>
                <w:rtl w:val="0"/>
              </w:rPr>
              <w:t>Итого: с</w:t>
            </w:r>
            <w:r>
              <w:rPr>
                <w:rFonts w:ascii="Times New Roman" w:eastAsia="Times New Roman" w:hAnsi="Times New Roman" w:cs="Times New Roman"/>
                <w:sz w:val="28"/>
                <w:rtl w:val="0"/>
              </w:rPr>
              <w:t xml:space="preserve">умма основного долга: </w:t>
            </w:r>
            <w:r>
              <w:rPr>
                <w:rFonts w:ascii="Times New Roman" w:eastAsia="Times New Roman" w:hAnsi="Times New Roman" w:cs="Times New Roman"/>
                <w:sz w:val="28"/>
                <w:rtl w:val="0"/>
              </w:rPr>
              <w:t>сумма</w:t>
            </w:r>
          </w:p>
        </w:tc>
      </w:tr>
      <w:tr>
        <w:tblPrEx>
          <w:tblW w:w="9782" w:type="dxa"/>
          <w:jc w:val="left"/>
          <w:tblInd w:w="0" w:type="dxa"/>
          <w:tblCellMar>
            <w:top w:w="0" w:type="dxa"/>
            <w:left w:w="0" w:type="dxa"/>
            <w:bottom w:w="0" w:type="dxa"/>
            <w:right w:w="0" w:type="dxa"/>
          </w:tblCellMar>
        </w:tblPrEx>
        <w:trPr>
          <w:trHeight w:val="255"/>
          <w:jc w:val="left"/>
        </w:trPr>
        <w:tc>
          <w:tcPr>
            <w:gridSpan w:val="10"/>
            <w:tcMar>
              <w:left w:w="108" w:type="dxa"/>
              <w:right w:w="108" w:type="dxa"/>
            </w:tcMar>
            <w:vAlign w:val="center"/>
          </w:tcPr>
          <w:p>
            <w:pPr>
              <w:bidi w:val="0"/>
              <w:spacing w:before="0" w:beforeAutospacing="0" w:after="0" w:afterAutospacing="0"/>
              <w:ind w:left="0" w:right="0"/>
              <w:jc w:val="left"/>
              <w:rPr>
                <w:rtl w:val="0"/>
              </w:rPr>
            </w:pPr>
            <w:r>
              <w:rPr>
                <w:rFonts w:ascii="Times New Roman" w:eastAsia="Times New Roman" w:hAnsi="Times New Roman" w:cs="Times New Roman"/>
                <w:sz w:val="28"/>
                <w:rtl w:val="0"/>
              </w:rPr>
              <w:t>Итого: с</w:t>
            </w:r>
            <w:r>
              <w:rPr>
                <w:rFonts w:ascii="Times New Roman" w:eastAsia="Times New Roman" w:hAnsi="Times New Roman" w:cs="Times New Roman"/>
                <w:sz w:val="28"/>
                <w:rtl w:val="0"/>
              </w:rPr>
              <w:t xml:space="preserve">умма пеней </w:t>
            </w:r>
            <w:r>
              <w:rPr>
                <w:rFonts w:ascii="Times New Roman" w:eastAsia="Times New Roman" w:hAnsi="Times New Roman" w:cs="Times New Roman"/>
                <w:sz w:val="28"/>
                <w:rtl w:val="0"/>
              </w:rPr>
              <w:t xml:space="preserve">по состоянию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сумма</w:t>
            </w:r>
          </w:p>
        </w:tc>
      </w:tr>
    </w:tbl>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частью 1 Постановления правительства Российской Федерации </w:t>
      </w:r>
      <w:r>
        <w:rPr>
          <w:rFonts w:ascii="Times New Roman" w:eastAsia="Times New Roman" w:hAnsi="Times New Roman" w:cs="Times New Roman"/>
          <w:sz w:val="28"/>
          <w:rtl w:val="0"/>
        </w:rPr>
        <w:t xml:space="preserve">N 424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 особенностях представления коммунальных услуг собственникам и пользователям помещений в многоквартирных домах и жилых домов» п</w:t>
      </w:r>
      <w:r>
        <w:rPr>
          <w:rFonts w:ascii="Times New Roman" w:eastAsia="Times New Roman" w:hAnsi="Times New Roman" w:cs="Times New Roman"/>
          <w:sz w:val="28"/>
          <w:rtl w:val="0"/>
        </w:rPr>
        <w:t xml:space="preserve">риостановить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действие положений</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подпункта "а" пункта 32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части права исполнителя коммунальной услуги требовать уплаты неустоек (штрафов, пеней),</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подпункта "д" пункта 81(12)</w:t>
        </w:r>
      </w:hyperlink>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подпункта</w:t>
        </w:r>
        <w:r>
          <w:rPr>
            <w:rFonts w:ascii="Times New Roman" w:eastAsia="Times New Roman" w:hAnsi="Times New Roman" w:cs="Times New Roman"/>
            <w:strike w:val="0"/>
            <w:color w:val="0000FF"/>
            <w:sz w:val="28"/>
            <w:u w:val="none"/>
            <w:rtl w:val="0"/>
          </w:rPr>
          <w:t xml:space="preserve"> "</w:t>
        </w:r>
        <w:r>
          <w:rPr>
            <w:rFonts w:ascii="Times New Roman" w:eastAsia="Times New Roman" w:hAnsi="Times New Roman" w:cs="Times New Roman"/>
            <w:strike w:val="0"/>
            <w:color w:val="0000FF"/>
            <w:sz w:val="28"/>
            <w:u w:val="none"/>
            <w:rtl w:val="0"/>
          </w:rPr>
          <w:t>а" пункта 117</w:t>
        </w:r>
      </w:hyperlink>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пункта 119</w:t>
        </w:r>
      </w:hyperlink>
      <w:r>
        <w:rPr>
          <w:rFonts w:ascii="Times New Roman" w:eastAsia="Times New Roman" w:hAnsi="Times New Roman" w:cs="Times New Roman"/>
          <w:sz w:val="28"/>
          <w:rtl w:val="0"/>
        </w:rPr>
        <w:t>, положений</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подпункта "а" пункта 148(23)</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части права исполнителя коммунальной услуги по обращению с твердыми коммунальными отходами требовать уплаты неустоек (штрафов, пеней),</w:t>
      </w:r>
      <w:r>
        <w:rPr>
          <w:rFonts w:ascii="Times New Roman" w:eastAsia="Times New Roman" w:hAnsi="Times New Roman" w:cs="Times New Roman"/>
          <w:sz w:val="28"/>
          <w:rtl w:val="0"/>
        </w:rPr>
        <w:t xml:space="preserve"> </w:t>
      </w:r>
      <w:hyperlink r:id="rId17" w:history="1">
        <w:r>
          <w:rPr>
            <w:rFonts w:ascii="Times New Roman" w:eastAsia="Times New Roman" w:hAnsi="Times New Roman" w:cs="Times New Roman"/>
            <w:strike w:val="0"/>
            <w:color w:val="0000FF"/>
            <w:sz w:val="28"/>
            <w:u w:val="none"/>
            <w:rtl w:val="0"/>
          </w:rPr>
          <w:t>пункта 159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354 </w:t>
      </w:r>
      <w:r>
        <w:rPr>
          <w:rFonts w:ascii="Times New Roman" w:eastAsia="Times New Roman" w:hAnsi="Times New Roman" w:cs="Times New Roman"/>
          <w:sz w:val="28"/>
          <w:rtl w:val="0"/>
        </w:rPr>
        <w:t>"О предоставлении коммунальных услуг</w:t>
      </w:r>
      <w:r>
        <w:rPr>
          <w:rFonts w:ascii="Times New Roman" w:eastAsia="Times New Roman" w:hAnsi="Times New Roman" w:cs="Times New Roman"/>
          <w:sz w:val="28"/>
          <w:rtl w:val="0"/>
        </w:rPr>
        <w:t xml:space="preserve"> собственникам и пользователям помещений в многоквартирных домах и жилых домов".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этой связи, </w:t>
      </w:r>
      <w:r>
        <w:rPr>
          <w:rFonts w:ascii="Times New Roman" w:eastAsia="Times New Roman" w:hAnsi="Times New Roman" w:cs="Times New Roman"/>
          <w:sz w:val="28"/>
          <w:rtl w:val="0"/>
        </w:rPr>
        <w:t xml:space="preserve">расчет произведен с </w:t>
      </w:r>
      <w:r>
        <w:rPr>
          <w:rFonts w:ascii="Times New Roman" w:eastAsia="Times New Roman" w:hAnsi="Times New Roman" w:cs="Times New Roman"/>
          <w:sz w:val="28"/>
          <w:rtl w:val="0"/>
        </w:rPr>
        <w:t>исключени</w:t>
      </w:r>
      <w:r>
        <w:rPr>
          <w:rFonts w:ascii="Times New Roman" w:eastAsia="Times New Roman" w:hAnsi="Times New Roman" w:cs="Times New Roman"/>
          <w:sz w:val="28"/>
          <w:rtl w:val="0"/>
        </w:rPr>
        <w:t>ем</w:t>
      </w:r>
      <w:r>
        <w:rPr>
          <w:rFonts w:ascii="Times New Roman" w:eastAsia="Times New Roman" w:hAnsi="Times New Roman" w:cs="Times New Roman"/>
          <w:sz w:val="28"/>
          <w:rtl w:val="0"/>
        </w:rPr>
        <w:t xml:space="preserve"> период</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 учетом Постановления правительства Российской Федерации </w:t>
      </w:r>
      <w:r>
        <w:rPr>
          <w:rFonts w:ascii="Times New Roman" w:eastAsia="Times New Roman" w:hAnsi="Times New Roman" w:cs="Times New Roman"/>
          <w:sz w:val="28"/>
          <w:rtl w:val="0"/>
        </w:rPr>
        <w:t xml:space="preserve">N 424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 особенностях представления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8"/>
          <w:rtl w:val="0"/>
        </w:rPr>
        <w:t xml:space="preserve"> (см. формулу </w:t>
      </w:r>
      <w:r>
        <w:rPr>
          <w:rFonts w:ascii="Times New Roman" w:eastAsia="Times New Roman" w:hAnsi="Times New Roman" w:cs="Times New Roman"/>
          <w:sz w:val="28"/>
          <w:rtl w:val="0"/>
        </w:rPr>
        <w:t>расчета</w:t>
      </w:r>
      <w:r>
        <w:rPr>
          <w:rFonts w:ascii="Times New Roman" w:eastAsia="Times New Roman" w:hAnsi="Times New Roman" w:cs="Times New Roman"/>
          <w:sz w:val="28"/>
          <w:rtl w:val="0"/>
        </w:rPr>
        <w:t xml:space="preserve"> где в исключены периоды, </w:t>
      </w:r>
      <w:r>
        <w:rPr>
          <w:rFonts w:ascii="Times New Roman" w:eastAsia="Times New Roman" w:hAnsi="Times New Roman" w:cs="Times New Roman"/>
          <w:sz w:val="28"/>
          <w:rtl w:val="0"/>
        </w:rPr>
        <w:t xml:space="preserve">например: </w:t>
      </w:r>
      <w:r>
        <w:rPr>
          <w:rFonts w:ascii="Times New Roman" w:eastAsia="Times New Roman" w:hAnsi="Times New Roman" w:cs="Times New Roman"/>
          <w:sz w:val="28"/>
          <w:rtl w:val="0"/>
        </w:rPr>
        <w:t>267.96 x (1364-270) x 1/300 x 7.5%</w:t>
      </w:r>
      <w:r>
        <w:rPr>
          <w:rFonts w:ascii="Times New Roman" w:eastAsia="Times New Roman" w:hAnsi="Times New Roman" w:cs="Times New Roman"/>
          <w:sz w:val="28"/>
          <w:rtl w:val="0"/>
        </w:rPr>
        <w:t>, где 270 количество дней, исключаемых из периода расчета.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снований для применения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 </w:t>
      </w:r>
      <w:hyperlink r:id="rId18" w:tgtFrame="_blank" w:history="1">
        <w:r>
          <w:rPr>
            <w:rFonts w:ascii="Times New Roman" w:eastAsia="Times New Roman" w:hAnsi="Times New Roman" w:cs="Times New Roman"/>
            <w:color w:val="0000FF"/>
            <w:sz w:val="28"/>
            <w:u w:val="single"/>
            <w:rtl w:val="0"/>
          </w:rPr>
          <w:t>333</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не имеется.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w:t>
      </w:r>
      <w:r>
        <w:rPr>
          <w:rFonts w:ascii="Times New Roman" w:eastAsia="Times New Roman" w:hAnsi="Times New Roman" w:cs="Times New Roman"/>
          <w:sz w:val="28"/>
          <w:rtl w:val="0"/>
        </w:rPr>
        <w:t>основании статьи</w:t>
      </w:r>
      <w:r>
        <w:rPr>
          <w:rFonts w:ascii="Times New Roman" w:eastAsia="Times New Roman" w:hAnsi="Times New Roman" w:cs="Times New Roman"/>
          <w:sz w:val="28"/>
          <w:rtl w:val="0"/>
        </w:rPr>
        <w:t xml:space="preserve"> </w:t>
      </w:r>
      <w:hyperlink r:id="rId19" w:tgtFrame="_blank" w:history="1">
        <w:r>
          <w:rPr>
            <w:rFonts w:ascii="Times New Roman" w:eastAsia="Times New Roman" w:hAnsi="Times New Roman" w:cs="Times New Roman"/>
            <w:color w:val="0000FF"/>
            <w:sz w:val="28"/>
            <w:u w:val="single"/>
            <w:rtl w:val="0"/>
          </w:rPr>
          <w:t>98</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Гражданского процессуального кодекса Российской Федерации с ответчика в пользу </w:t>
      </w:r>
      <w:r>
        <w:rPr>
          <w:rFonts w:ascii="Times New Roman" w:eastAsia="Times New Roman" w:hAnsi="Times New Roman" w:cs="Times New Roman"/>
          <w:sz w:val="28"/>
          <w:rtl w:val="0"/>
        </w:rPr>
        <w:t>истца следует взыскать расходы по уплате государственной пошлины пропорционал</w:t>
      </w:r>
      <w:r>
        <w:rPr>
          <w:rFonts w:ascii="Times New Roman" w:eastAsia="Times New Roman" w:hAnsi="Times New Roman" w:cs="Times New Roman"/>
          <w:sz w:val="28"/>
          <w:rtl w:val="0"/>
        </w:rPr>
        <w:t>ьно удовлетворенным требованиям, а именно 52%, что составляет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сум</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сумма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Руководствуясь статьями 193-199 Гражданского процессуального кодекса Российской Федерации, мировой судья </w:t>
      </w:r>
    </w:p>
    <w:p>
      <w:pPr>
        <w:bidi w:val="0"/>
        <w:spacing w:before="0" w:beforeAutospacing="0" w:after="0" w:afterAutospacing="0"/>
        <w:ind w:left="0" w:right="0"/>
        <w:jc w:val="center"/>
        <w:rPr>
          <w:rtl w:val="0"/>
        </w:rPr>
      </w:pPr>
      <w:r>
        <w:rPr>
          <w:rFonts w:ascii="Times New Roman" w:eastAsia="Times New Roman" w:hAnsi="Times New Roman" w:cs="Times New Roman"/>
          <w:b/>
          <w:sz w:val="26"/>
          <w:rtl w:val="0"/>
        </w:rPr>
        <w:t>РЕШИЛ: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Исковые требования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удовлетворить частично.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Взыскать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пользу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1149102183735) задолженность по уплате взносов на капитальный ремонт общего имущества многоквартирного жилого дома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размере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шестьдесят три копейки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пени </w:t>
      </w:r>
      <w:r>
        <w:rPr>
          <w:rFonts w:ascii="Times New Roman" w:eastAsia="Times New Roman" w:hAnsi="Times New Roman" w:cs="Times New Roman"/>
          <w:sz w:val="28"/>
          <w:rtl w:val="0"/>
        </w:rPr>
        <w:t xml:space="preserve">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восемьдесят две копейки), продолжая взыскивать пени до фактического исполнения обязательства по уплате взносов на капитальный ремонт общего имущества многоквартирного жилого дома в размере одной трехсотой ставки рефинансирования</w:t>
      </w:r>
      <w:r>
        <w:rPr>
          <w:rFonts w:ascii="Times New Roman" w:eastAsia="Times New Roman" w:hAnsi="Times New Roman" w:cs="Times New Roman"/>
          <w:sz w:val="28"/>
          <w:rtl w:val="0"/>
        </w:rPr>
        <w:t xml:space="preserve"> Центрального банка Российской Федерации, действующей на день фактической оплаты, начисленной на остаток задолженности.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 удовлетворении остальной части иска – отказать.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Взыскать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пользу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1149102183735) расходы по уплате государственной пошлины в суме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семнадцать копеек).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8"/>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sz w:val="28"/>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Решение суда может быть обжаловано в апелляционном порядке в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судью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одного месяца. </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Полный текст по заявлению истца</w:t>
      </w:r>
      <w:r>
        <w:rPr>
          <w:rFonts w:ascii="Times New Roman" w:eastAsia="Times New Roman" w:hAnsi="Times New Roman" w:cs="Times New Roman"/>
          <w:sz w:val="28"/>
          <w:rtl w:val="0"/>
        </w:rPr>
        <w:t xml:space="preserve">, поступившему в суд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изготовлен </w:t>
      </w:r>
      <w:r>
        <w:rPr>
          <w:rFonts w:ascii="Times New Roman" w:eastAsia="Times New Roman" w:hAnsi="Times New Roman" w:cs="Times New Roman"/>
          <w:sz w:val="28"/>
          <w:rtl w:val="0"/>
        </w:rPr>
        <w:t>дата</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gk-rf-chast1/razdel-i/podrazdel-5/glava-12/statia-196/" TargetMode="External" /><Relationship Id="rId11" Type="http://schemas.openxmlformats.org/officeDocument/2006/relationships/hyperlink" Target="https://sudact.ru/law/gk-rf-chast1/razdel-i/podrazdel-5/glava-12/statia-200/" TargetMode="External" /><Relationship Id="rId12" Type="http://schemas.openxmlformats.org/officeDocument/2006/relationships/hyperlink" Target="https://sudact.ru/law/gk-rf-chast1/razdel-i/podrazdel-5/glava-12/statia-199/" TargetMode="External" /><Relationship Id="rId13" Type="http://schemas.openxmlformats.org/officeDocument/2006/relationships/hyperlink" Target="https://sudact.ru/law/gk-rf-chast1/razdel-i/podrazdel-5/glava-12/statia-204/" TargetMode="External" /><Relationship Id="rId14" Type="http://schemas.openxmlformats.org/officeDocument/2006/relationships/hyperlink" Target="https://sudact.ru/law/gpk-rf/razdel-ii/podrazdel-ii/glava-18/statia-220/" TargetMode="External" /><Relationship Id="rId15" Type="http://schemas.openxmlformats.org/officeDocument/2006/relationships/hyperlink" Target="https://sudact.ru/law/gk-rf-chast1/razdel-i/podrazdel-1/glava-1/statia-6/" TargetMode="External" /><Relationship Id="rId16" Type="http://schemas.openxmlformats.org/officeDocument/2006/relationships/hyperlink" Target="https://sudact.ru/law/zhk-rf/razdel-vii/statia-155/" TargetMode="External" /><Relationship Id="rId17" Type="http://schemas.openxmlformats.org/officeDocument/2006/relationships/hyperlink" Target="https://www.consultant.ru/document/cons_doc_LAW_349475/" TargetMode="External" /><Relationship Id="rId18" Type="http://schemas.openxmlformats.org/officeDocument/2006/relationships/hyperlink" Target="https://sudact.ru/law/gk-rf-chast1/razdel-iii/podrazdel-1_1/glava-23/ss-2_3/statia-333/" TargetMode="External" /><Relationship Id="rId19" Type="http://schemas.openxmlformats.org/officeDocument/2006/relationships/hyperlink" Target="https://sudact.ru/law/gpk-rf/razdel-i/glava-7/statia-98/" TargetMode="Externa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sudact.ru/law/zhk-rf/razdel-vii/statia-154/" TargetMode="External" /><Relationship Id="rId5" Type="http://schemas.openxmlformats.org/officeDocument/2006/relationships/hyperlink" Target="https://sudact.ru/law/zhk-rf/razdel-ix/glava-15/statia-169/" TargetMode="External" /><Relationship Id="rId6" Type="http://schemas.openxmlformats.org/officeDocument/2006/relationships/hyperlink" Target="https://sudact.ru/law/zhk-rf/razdel-vii/statia-158/" TargetMode="External" /><Relationship Id="rId7" Type="http://schemas.openxmlformats.org/officeDocument/2006/relationships/hyperlink" Target="https://sudact.ru/law/zhk-rf/razdel-ix/glava-15/statia-171/" TargetMode="External" /><Relationship Id="rId8" Type="http://schemas.openxmlformats.org/officeDocument/2006/relationships/hyperlink" Target="https://sudact.ru/law/zhk-rf/razdel-ix/glava-17/statia-182/" TargetMode="External" /><Relationship Id="rId9" Type="http://schemas.openxmlformats.org/officeDocument/2006/relationships/hyperlink" Target="https://saki.rk.gov.ru/ru/document/show/1198"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