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 w:line="280" w:lineRule="atLeast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РЕШЕНИЕ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 w:line="280" w:lineRule="atLeast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 w:line="28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 помощнике судьи, обеспечивающе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 w:line="28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6"/>
          <w:rtl w:val="0"/>
        </w:rPr>
        <w:t>иск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оплате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содержание и текущий ремонт общего имущества собственников многоквартирного дома, 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уководствуясь статьями </w:t>
      </w:r>
      <w:r>
        <w:rPr>
          <w:rFonts w:ascii="Times New Roman" w:eastAsia="Times New Roman" w:hAnsi="Times New Roman" w:cs="Times New Roman"/>
          <w:sz w:val="26"/>
          <w:rtl w:val="0"/>
        </w:rPr>
        <w:t>194-199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 w:line="280" w:lineRule="atLeast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удовлетворить. 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ОГРН 1249100000467,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расчетный счет № 40702810440790000771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30101810335100000607,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ОКПО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1249100000467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оплате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содержание и текущий ремонт общего имущества собственников многоквартирного дома,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как с собственника помещения с кадастровым № 90:21: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>685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указанном многоквартирном доме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</w:t>
      </w:r>
      <w:r>
        <w:rPr>
          <w:rFonts w:ascii="Times New Roman" w:eastAsia="Times New Roman" w:hAnsi="Times New Roman" w:cs="Times New Roman"/>
          <w:sz w:val="26"/>
          <w:rtl w:val="0"/>
        </w:rPr>
        <w:t>со 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