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361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6"/>
          <w:rtl w:val="0"/>
        </w:rPr>
        <w:t>1089395630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оплате взносов на капитальный ремонт общего имущества многоквартирного дома,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применением ст. 333 ГК РФ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удовлетворении остальных требований о взыскании пеней – отказать.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подачи апелляционной жалобы через мирового судью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месяца со дня вынесения решения.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