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445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оплате взносов на капитальный ремонт общего имущества в многоквартирном доме и пеней,</w:t>
      </w:r>
    </w:p>
    <w:p>
      <w:pPr>
        <w:bidi w:val="0"/>
        <w:spacing w:before="0" w:beforeAutospacing="0" w:after="0" w:afterAutospacing="0" w:line="293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 – Фонд) обратилась в суд с иском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уплате взносов на капитальный ремонт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пеней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пересчитать размер неустойки на дату вынесения решения с указанием в решении, что такое взыскание производится до момента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Требования мотивированы тем, что ответчик является собственником квартиры площадью 45,9 кв.м.,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 постановления Совмина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753 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 включен в региональную программу капитального ремонта на 2016-2050г.г., в соответствии с постановлением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628 фонд капитального ремонта указанного многоквартирного дома формируется на счете регионального оператора, которым является истец.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положениями ст.ст. 154, 158, 169, 171 ЖК РФ ответчик, как собственник жилого помещения обязан вносить взносы на капитальный ремонт на счет регионального оператора, однако соответствующую обязанность не выполняет, в связи с чем,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образовалась задолженность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пени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начисленные на сумму задолженности, 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представленного расчета пеней,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начиная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истец просил взыскивать по день фактического исполнения обязательства.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Судебный приказ на взыскание суммы задолженности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 представитель истца, ответчик, надлежаще извещенные о времени и месте рассмотрения дела, не явились. От истца поступило ходатайство о рассмотрении дела в отсутствие представителя. 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причинах неявки суд не известила, ходатайств об отложении судебного разбирательства не заявляла.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поданы возражения на иск, в которых просит применить исковую давность к требованиям о взыскании платежей за январь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учитывая, что истец обратился в суд с иском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ст</w:t>
      </w:r>
      <w:r>
        <w:rPr>
          <w:rFonts w:ascii="Times New Roman" w:eastAsia="Times New Roman" w:hAnsi="Times New Roman" w:cs="Times New Roman"/>
          <w:sz w:val="26"/>
          <w:rtl w:val="0"/>
        </w:rPr>
        <w:t>.ст. 233,234 ГПК РФ дело рассмотрено в порядке заочного производства, о чем постановлено определение, изложенное в протоколе судебного заседания.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Исследовав представленные доказательства, суд приходит к выводу о наличии оснований для удовлетворения иска,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154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взнос на капитальный ремонт.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169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(часть 3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158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положений части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171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 следует,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 же согласно абз. 3-4 ч.1 Постановления Совета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753 «Об утверждении Региональной программы капитального ремонта общего имущества в многоквартирных домах на территории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в связи с изменениями в порядке финансирования капитального ремонта общего имущества многоквартирных домов, введенными Федеральным законом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271-ФЗ «О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Федерации», обязанностью собственников помещений в многоквартирном доме уплачивать ежемесячные взносы на капитальный ремонт, необходимо принятие на региональном уровне долгосрочной программы капитального ремонта. Программа формируется на 30-летний срок, необходимый для проведения капитального ремонта общего имущества во всех многоквартирных домах, расположенных на территории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исключением случаев, предусмотренных подпунктом 2 пункта 1 статьи 6 Закона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формирования фонда капитального ремонта на специальном счете, владельцем которого является региональный оператор,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 либо лицом, указанным в пункте 9 части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182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Федерации, в сроки, установленные для внесения платы за жилое помещение и коммунальные услуги (часть 2).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 и подтверждается выпиской из ЕГРН,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праве собственности принадлежит жилое помещение площадью 45,9 кв.м. – квартира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37 </w:t>
      </w:r>
      <w:r>
        <w:rPr>
          <w:rFonts w:ascii="Times New Roman" w:eastAsia="Times New Roman" w:hAnsi="Times New Roman" w:cs="Times New Roman"/>
          <w:sz w:val="26"/>
          <w:rtl w:val="0"/>
        </w:rPr>
        <w:t>кадастровый № 90:21: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>8695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расположенная в многоквартирном доме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29-33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Истец является региональным оператором на территории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 истец, и это обстоятельство не оспаривалось ответчиком,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счетах истца формируется фонд капитального ремонта указанного многоквартирного дома в соответствии с постановлением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628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уплате взносов на капитальный ремонт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что подтверждается представленным расчетом задолженности и не оспаривалось ответчиком в возражениях на иск.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связи с несвоевременным исполнением обязанности по уплате взносов задолженность ответчика перед истцом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составляет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включительно, согласно представленному расчету пеней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составили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Правильность расчетов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оспорены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судом проверены и признатся арифметически правильными.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дату рассмотрения спора, сведений об уплате задолженности, не поступило. Истцом на электронную почту мирового судьи направлен расчет пеней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 представленному расчету сумма задолженности по пеням на день вынесения решения суда составила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Представленный расчет (л.д. 41-65) судом проверен и признается арифметически правильным, сделанным с учетом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14 ст. 155 ЖК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постановления Правительства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474 "О некоторых особенностях регулирования жилищных отношений в 2022 -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"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ч. 2 ст. 11.1 ЗРК № 48-ЗРК/2014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некоторых вопросах в сфере обеспечения проведения капитального ремонта общего имущества в многоквартирных домах, расположенных на территории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Заявленные требования о взыскании зодолженности по оплате взносов на капитальный ремонт и пеней на день вынесения решения суда, являются законными и обоснованными,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 ответчиком обязанности по внесению взносов на капитальный ремонт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освобождения ответчика от взыскания неустойки не приведено и судом не установлено, в связи с чем, суд признает заявленные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подлежащими удовлетоврению.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применения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333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 не имеется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требования о взыскании пеней являются соразмерными последствиям нарушения обязательства. Размер пеней ограничен правительством РФ значением ключевой ставки в 9,5% и значительно меньше размера пеней, подлежащих взысканию в соответствии с положениями ч. 14 ст. 155 ЖК РФ, исходя из ключевой ставки, действующей на день вынесения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ответчика о пропуске истцом сроков исковой давности по требованиям о взыскании задолженности по оплате взносов на капитальный ремонт за январь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отклоняются судом как необоснованные.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положениями части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части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200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кодекса Российской Федерации общий срок исковой давности составляет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течение сроках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части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2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Пунктом 17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43 «О некоторых вопросах, связанных с применением норм Гражданского кодекса Российской Федерации об исковой давности» предусмотрено, что в силу пункта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3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смыслу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3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220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 с момента вступления в силу соответствующего определения суда либо отмены судебного приказа.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5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пункт 3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3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204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абзацу 2 пункта 41 постановления Пленума Верховного Суда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6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155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Российской Федерации и пункт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200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Российской Федерации).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материалов дела следует, что истец обратился к мировому судье с заявлением о вынесении судебного приказа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Судебный приказ мировым судьей вынесен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Определением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 приказ отменен в связи с возражениями ответчика относительно его исполнения.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настоящим иском в суд истец обратился по почте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обращение истца к мировому судье, сроки оплаты взносов на капитальный ремонт (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число месяца следующего за периодом начисления задолженности), суд приходит к выводу, что срок исковой давности по требованиям о взыскании с ответчика задолженности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пропущен, включая спорные периодические платежи за январь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 с момента обращения истца к мировому судье за судебным приказом срок исковой давности по требованиям о взыскании периодических платежей, не истекший до обращения в суд, перестал течь и, учитывая, что после отмены судебного приказа (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неистекшая часть срока исковой давности по требованиям о взыскании платежей за январь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составляла меньше 6 месяцев, срок исковой давности удлинился до 6 месяцев, что дает истцу право заявить соответствующие требования вплоть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следует из материалов дела, иск подан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(по почте), то есть в пределах исковой давности.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этой связи основания для отказа в иске о взыскании периодческих платежей за январь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заявлению ответчика о пропуске сроков исковой давности с применением положений ст. 199 ГК РФ -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7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 с ответчика в пользу истца следует взыскать расходы по уплате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Кузнецова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8/9, кв. 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р/с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к/с 30101810335100000607 для зачисления на л/с № 1096871888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уплате взносов на капитальный ремонт общего имущества многоквартирного дома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по день вынесения решения суда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продолжая взыскивать пени до фактического исполнения обязательства по уплате взносов на капитальный ремонт общего имущества многоквартирного дома.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Кузнецова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8/9, кв. 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сум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течении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Полный текст по заявлению истца, поступившему в суд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изготовлен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k-rf-chast1/razdel-i/podrazdel-5/glava-12/statia-196/" TargetMode="External" /><Relationship Id="rId11" Type="http://schemas.openxmlformats.org/officeDocument/2006/relationships/hyperlink" Target="https://sudact.ru/law/gk-rf-chast1/razdel-i/podrazdel-5/glava-12/statia-200/" TargetMode="External" /><Relationship Id="rId12" Type="http://schemas.openxmlformats.org/officeDocument/2006/relationships/hyperlink" Target="https://sudact.ru/law/gk-rf-chast1/razdel-i/podrazdel-5/glava-12/statia-199/" TargetMode="External" /><Relationship Id="rId13" Type="http://schemas.openxmlformats.org/officeDocument/2006/relationships/hyperlink" Target="https://sudact.ru/law/gk-rf-chast1/razdel-i/podrazdel-5/glava-12/statia-204/" TargetMode="External" /><Relationship Id="rId14" Type="http://schemas.openxmlformats.org/officeDocument/2006/relationships/hyperlink" Target="https://sudact.ru/law/gpk-rf/razdel-ii/podrazdel-ii/glava-18/statia-220/" TargetMode="External" /><Relationship Id="rId15" Type="http://schemas.openxmlformats.org/officeDocument/2006/relationships/hyperlink" Target="https://sudact.ru/law/gk-rf-chast1/razdel-i/podrazdel-1/glava-1/statia-6/" TargetMode="External" /><Relationship Id="rId16" Type="http://schemas.openxmlformats.org/officeDocument/2006/relationships/hyperlink" Target="https://sudact.ru/law/zhk-rf/razdel-vii/statia-155/" TargetMode="External" /><Relationship Id="rId17" Type="http://schemas.openxmlformats.org/officeDocument/2006/relationships/hyperlink" Target="https://sudact.ru/law/gpk-rf/razdel-i/glava-7/statia-98/" TargetMode="Externa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zhk-rf/razdel-vii/statia-154/" TargetMode="External" /><Relationship Id="rId5" Type="http://schemas.openxmlformats.org/officeDocument/2006/relationships/hyperlink" Target="https://sudact.ru/law/zhk-rf/razdel-ix/glava-15/statia-169/" TargetMode="External" /><Relationship Id="rId6" Type="http://schemas.openxmlformats.org/officeDocument/2006/relationships/hyperlink" Target="https://sudact.ru/law/zhk-rf/razdel-vii/statia-158/" TargetMode="External" /><Relationship Id="rId7" Type="http://schemas.openxmlformats.org/officeDocument/2006/relationships/hyperlink" Target="https://sudact.ru/law/zhk-rf/razdel-ix/glava-15/statia-171/" TargetMode="External" /><Relationship Id="rId8" Type="http://schemas.openxmlformats.org/officeDocument/2006/relationships/hyperlink" Target="https://sudact.ru/law/zhk-rf/razdel-ix/glava-17/statia-182/" TargetMode="External" /><Relationship Id="rId9" Type="http://schemas.openxmlformats.org/officeDocument/2006/relationships/hyperlink" Target="https://sudact.ru/law/gk-rf-chast1/razdel-iii/podrazdel-1_1/glava-23/ss-2_3/statia-333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