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572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1089380930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В счет взысканной задолженности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пеней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расходов по оплате государственной пошлины,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зачесть денежные средства,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уплаченные </w:t>
      </w:r>
      <w:r>
        <w:rPr>
          <w:rFonts w:ascii="Times New Roman" w:eastAsia="Times New Roman" w:hAnsi="Times New Roman" w:cs="Times New Roman"/>
          <w:sz w:val="26"/>
          <w:rtl w:val="0"/>
        </w:rPr>
        <w:t>ответчиком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счет уплаты задолженности по оплате взносов на капитальный ремонт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счет уплаты пеней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счет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государственной пошлины в сум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окончательно определив ко взысканию сумму пеней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присутствующими в судебном заседании, в течение трех дней со дня объявления резолютивной части решения суда;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не присутствующие в судебном заседании,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