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580</w:t>
      </w:r>
      <w:r>
        <w:rPr>
          <w:rFonts w:ascii="Times New Roman" w:eastAsia="Times New Roman" w:hAnsi="Times New Roman" w:cs="Times New Roman"/>
          <w:sz w:val="26"/>
          <w:rtl w:val="0"/>
        </w:rPr>
        <w:t>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05 октября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</w:t>
      </w:r>
      <w:r>
        <w:rPr>
          <w:rFonts w:ascii="Times New Roman" w:eastAsia="Times New Roman" w:hAnsi="Times New Roman" w:cs="Times New Roman"/>
          <w:sz w:val="26"/>
          <w:rtl w:val="0"/>
        </w:rPr>
        <w:t>вой судья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Департамента труда и социальной защиты населения администрации Ленинского района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к Божко Марине Ивановне, третье лицо ГКУ РК «Центр социальных выплат, модернизации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укрепления материально-технической базы учреждений социального обслуживания и занятости в Республике Крым»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>денежных средств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Департамента труда и социальной защиты населения администрации Ленинского района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Божко Марины Ивановны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бюджета Республики Крым излишне выплаченные денежные средства за апрель 2019 года в размере 3277 рублей 45 копеек.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Божко Марины Ивановны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400 рублей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