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928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Гайтамоновой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Пакизе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Сулеймановне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>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1097052866 с </w:t>
      </w:r>
      <w:r>
        <w:rPr>
          <w:rFonts w:ascii="Times New Roman" w:eastAsia="Times New Roman" w:hAnsi="Times New Roman" w:cs="Times New Roman"/>
          <w:sz w:val="26"/>
          <w:rtl w:val="0"/>
        </w:rPr>
        <w:t>Гайтамоновой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Пакизе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Сулеймановны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УЗССР,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место жительства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день вынесения решения суда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применением положений ст. 333 ГК РФ)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остальной части иска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отказать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Гайтамоновой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Пакизе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Сулеймановны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УЗССР,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место жительства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сум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 по рассмотренному им делу в случае поступления от лиц, участвующих в деле, </w:t>
      </w:r>
      <w:r>
        <w:rPr>
          <w:rFonts w:ascii="Times New Roman" w:eastAsia="Times New Roman" w:hAnsi="Times New Roman" w:cs="Times New Roman"/>
          <w:sz w:val="28"/>
          <w:rtl w:val="0"/>
        </w:rPr>
        <w:t>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лицами, присутствующими в судебном заседании, в течение трех дней со дня объявления резолютивной части решения суда;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лицами, не присутствующие в судебном заседании,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