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1258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иску Некоммерческой организации «Региональный фонд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ответчик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 и расходов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оплате госпошлины,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 ответчик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удовлетворить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9102066504/910201001, юридический адрес: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реквизиты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БИК: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к/с 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реквизиты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, к/с</w:t>
      </w:r>
      <w:r>
        <w:rPr>
          <w:rFonts w:ascii="Times New Roman" w:eastAsia="Times New Roman" w:hAnsi="Times New Roman" w:cs="Times New Roman"/>
          <w:b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оплате взносов на капитальный ремонт общего имущества в многоквартирном доме,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лицевому счету № </w:t>
      </w:r>
      <w:r>
        <w:rPr>
          <w:rFonts w:ascii="Times New Roman" w:eastAsia="Times New Roman" w:hAnsi="Times New Roman" w:cs="Times New Roman"/>
          <w:sz w:val="28"/>
          <w:rtl w:val="0"/>
        </w:rPr>
        <w:t>1089396778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пени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продолжением начисления по дату фактического исполнения обязательств,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