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0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1643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37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 w:firstLine="37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судьи, обеспечивающем по поручению председательствующего ведение протокола и аудиопротоколирование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за потребленную тепловую энергию 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193-199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удовлетворении исковых требований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 взыскании задолже</w:t>
      </w:r>
      <w:r>
        <w:rPr>
          <w:rFonts w:ascii="Times New Roman" w:eastAsia="Times New Roman" w:hAnsi="Times New Roman" w:cs="Times New Roman"/>
          <w:sz w:val="26"/>
          <w:rtl w:val="0"/>
        </w:rPr>
        <w:t>нности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потребленную тепловую энергию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начисленной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– отказать в связи с пропуском срока исковой давности.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Решение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месяца через мирового судью.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1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