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2-84-13/2026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...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... фио о взыскании задолженности по договору оказания услуг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№2-84-13/2026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