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2-84-18/2026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</w:t>
      </w:r>
      <w:r>
        <w:t xml:space="preserve">открытом судебном заседании гражданское дело по иску представителя наименование организации к ...) </w:t>
      </w:r>
      <w:r>
        <w:t>фио</w:t>
      </w:r>
      <w:r>
        <w:t xml:space="preserve">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</w:t>
      </w:r>
      <w:r>
        <w:t xml:space="preserve">еля наименование организации к ...) </w:t>
      </w:r>
      <w:r>
        <w:t>фио</w:t>
      </w:r>
      <w:r>
        <w:t xml:space="preserve">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</w:t>
      </w:r>
      <w:r>
        <w:t>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</w:t>
      </w:r>
      <w:r>
        <w:t xml:space="preserve">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</w:t>
      </w:r>
      <w:r>
        <w:t>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 xml:space="preserve">Решение суда не вступило в законную силу. Оригинал резолютивной части решения подшит в гражданское </w:t>
      </w:r>
      <w:r>
        <w:t>дело №2-84-18/2026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BC"/>
    <w:rsid w:val="00A77B3E"/>
    <w:rsid w:val="00C81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