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2-84-943/2025</w:t>
      </w:r>
    </w:p>
    <w:p w:rsidR="00A77B3E">
      <w:r>
        <w:t>УИД-91МS0084-01-2025-002176-60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18 декабря 2025 года</w:t>
        <w:tab/>
        <w:tab/>
        <w:tab/>
        <w:tab/>
        <w:tab/>
        <w:tab/>
        <w:tab/>
        <w:t xml:space="preserve">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</w:t>
      </w:r>
    </w:p>
    <w:p w:rsidR="00A77B3E">
      <w:r>
        <w:t>при секретаре – Дроновой Л.Л.,</w:t>
      </w:r>
    </w:p>
    <w:p w:rsidR="00A77B3E">
      <w:r>
        <w:t>рассмотрев в открытом судебном заседании гражданское дело по иску представителя общества с ограниченной ответственностью «Аспект» к фио о взыскании задолженности по договору оказания услуг,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иска представителя общества с ограниченной ответственностью «Аспект» к фио о взыскании задолженности по договору оказания услуг №... от дата в размере сумма, расходов по оплате государственной пошлины в размере сумма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№2-84-943/2025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