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2-85- 66/2018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г. Судак  </w:t>
        <w:tab/>
        <w:tab/>
        <w:t xml:space="preserve">         </w:t>
        <w:tab/>
        <w:tab/>
        <w:t xml:space="preserve">                                             17 апреля 2018 года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Перекрёстов А.Г.</w:t>
      </w:r>
    </w:p>
    <w:p w:rsidR="00A77B3E">
      <w:r>
        <w:t>при секретаре Вахтиной С.В.,</w:t>
      </w:r>
    </w:p>
    <w:p w:rsidR="00A77B3E">
      <w:r>
        <w:t xml:space="preserve">с участием представителя истца Ягъява О.М., </w:t>
      </w:r>
    </w:p>
    <w:p w:rsidR="00A77B3E">
      <w:r>
        <w:t xml:space="preserve">рассмотрев в судебном заседании в г. Судак Республика Крым гражданское дело по иску Государственного унитарного предприятия Республики Крым «Крымэнерго» к Мельнику Олегу Станиславовичу о взыскании материального ущерба, </w:t>
      </w:r>
    </w:p>
    <w:p w:rsidR="00A77B3E"/>
    <w:p w:rsidR="00A77B3E">
      <w:r>
        <w:t>Руководствуясь ст.ст. 194-199 ГПК РФ, мировой судья</w:t>
      </w:r>
    </w:p>
    <w:p w:rsidR="00A77B3E">
      <w:r>
        <w:t>РЕШИЛ:</w:t>
      </w:r>
    </w:p>
    <w:p w:rsidR="00A77B3E">
      <w:r>
        <w:tab/>
        <w:t>Взыскать с Мельника Олега Станиславовича в пользу Государственного унитарного предприятия Республики Крым «Крымэнерго» в счет возмещения материального ущерба денежные средства в размере 19729 рублей 50 копеек, расходы по оплате государственной пошлины в размере 789 рублей 18 копеек, а всего 20518 рублей 68 копеек.</w:t>
      </w:r>
    </w:p>
    <w:p w:rsidR="00A77B3E">
      <w:r>
        <w:t>Разъяснить, что стороны вправе обратиться к мировому судье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ab/>
        <w:t>Мировой судья:</w:t>
        <w:tab/>
        <w:t xml:space="preserve">             </w:t>
        <w:tab/>
        <w:t xml:space="preserve">               </w:t>
        <w:tab/>
        <w:tab/>
        <w:tab/>
        <w:t xml:space="preserve">А.Г. Перекрёстов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