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ab/>
        <w:tab/>
        <w:tab/>
        <w:t xml:space="preserve">                 Дело № 2-87-669/2020 </w:t>
      </w:r>
    </w:p>
    <w:p w:rsidR="00A77B3E">
      <w:r>
        <w:t xml:space="preserve"> </w:t>
      </w:r>
    </w:p>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с участием:</w:t>
      </w:r>
    </w:p>
    <w:p w:rsidR="00A77B3E">
      <w:r>
        <w:t xml:space="preserve">ответчика – Новицкой В.А.,    </w:t>
      </w:r>
    </w:p>
    <w:p w:rsidR="00A77B3E">
      <w:r>
        <w:t xml:space="preserve">рассмотрев в открытом судебном заседании в адрес гражданское дело по исковому заявлению генерального директора наименование организации Шпагина Д.А. к Новицкой В... А..., о взыскании задолженности за услуги по обслуживанию и ремонту общего имущества многоквартирного дома, третье лицо, не заявляющее самостоятельных требований наименование организации Универсал Сервис", - </w:t>
      </w:r>
    </w:p>
    <w:p w:rsidR="00A77B3E"/>
    <w:p w:rsidR="00A77B3E">
      <w:r>
        <w:t xml:space="preserve">  Руководствуясь ст.ст. 88, 98, 194, 198, 199, ГПК Российской Федерации, мировой судья, -  </w:t>
      </w:r>
    </w:p>
    <w:p w:rsidR="00A77B3E">
      <w:r>
        <w:t>РЕШИЛ:</w:t>
      </w:r>
    </w:p>
    <w:p w:rsidR="00A77B3E"/>
    <w:p w:rsidR="00A77B3E">
      <w:r>
        <w:t xml:space="preserve">В удовлетворении исковых требований Общества с ограниченной ответственностью Управляющая наименование организации к Новицкой В... А... о взыскании задолженности за услуги по обслуживанию и ремонту общего имущества многоквартирного дома за период с дата по дата – отказать.  </w:t>
      </w:r>
    </w:p>
    <w:p w:rsidR="00A77B3E">
      <w:r>
        <w:t xml:space="preserve">Понесённые истцом судебные расходы, а именно расходы на оплату государственной пошлины в размере сумма, при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