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Дело № 2-87-834/2020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</w:t>
        <w:tab/>
        <w:t xml:space="preserve">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>с участием:</w:t>
      </w:r>
    </w:p>
    <w:p w:rsidR="00A77B3E">
      <w:r>
        <w:t>представителя истца – Гулим С.С., действующего на основании доверенности,</w:t>
      </w:r>
    </w:p>
    <w:p w:rsidR="00A77B3E">
      <w:r>
        <w:t xml:space="preserve">ответчика - Гринченко Н.Н.,    </w:t>
      </w:r>
    </w:p>
    <w:p w:rsidR="00A77B3E">
      <w:r>
        <w:t xml:space="preserve">рассмотрев в открытом судебном заседании в адрес исковое заявление наименование организации к Гринченко Н... Н... о взыскании задолженности за безучетно потребленную электроэнергию, 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194-199 ГПК Российской Федерации, мировой судья - </w:t>
      </w:r>
    </w:p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Гринченко Н... ...... – удовлетворить.  </w:t>
      </w:r>
    </w:p>
    <w:p w:rsidR="00A77B3E">
      <w:r>
        <w:t xml:space="preserve">Взыскать с Гринченко Н... Н... в пользу наименование организации задолженность за электроэнергию по акту ... от дата в размере сумма, по акту ... от дата в размере сумма, а всего сумма </w:t>
      </w:r>
    </w:p>
    <w:p w:rsidR="00A77B3E">
      <w:r>
        <w:t xml:space="preserve">Взыскать с Гринченко Н... Н... в пользу наименование организации расходы по оплате государственной пошлины в размере сумма   </w:t>
      </w:r>
    </w:p>
    <w:p w:rsidR="00A77B3E">
      <w:r>
        <w:t>Решение может быть обжаловано в Феодосийский городской суд адрес через мирового судью судебного участка № 87 Феодосийского судебного района (городской адрес) адрес в течение месяца с момента принятия решения в окончательной форме.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>подпись</w:t>
        <w:tab/>
        <w:tab/>
        <w:t xml:space="preserve"> </w:t>
        <w:tab/>
        <w:tab/>
        <w:t>Т.Н. Ваянова</w:t>
      </w:r>
    </w:p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 xml:space="preserve">Т.Н. Ваянова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