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2-89-41/2026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05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 xml:space="preserve">о иску ФКУ «Управление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</w:t>
      </w:r>
      <w:r>
        <w:t xml:space="preserve"> требования Федерального казенного учреждения «Управление Черноморского флота»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учреждения «Управление Черноморского флота» (ОГРН 1149204069002, ИНН 9204508543) сумму</w:t>
      </w:r>
      <w:r>
        <w:t xml:space="preserve"> задолженности (неосновательного обогащения) за услуги по теплоснабжению за период с дата по дата  размере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Лица, участвующие в деле, их представит</w:t>
      </w:r>
      <w:r>
        <w:t>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</w:t>
      </w:r>
      <w:r>
        <w:t>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</w:t>
      </w:r>
      <w:r>
        <w:t xml:space="preserve">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</w:t>
      </w:r>
      <w:r>
        <w:t>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</w:t>
      </w:r>
      <w: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t>об отмене этого р</w:t>
      </w:r>
      <w:r>
        <w:t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  <w:t xml:space="preserve">В.Д. </w:t>
      </w:r>
      <w:r>
        <w:t>Макарчук</w:t>
      </w:r>
    </w:p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55"/>
    <w:rsid w:val="00A77B3E"/>
    <w:rsid w:val="00C726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