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2-89-54/2026</w:t>
      </w:r>
    </w:p>
    <w:p w:rsidR="00A77B3E">
      <w:r>
        <w:t>УИД 91MS0089-01-2026-000048-84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12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Макарчук</w:t>
      </w:r>
      <w:r>
        <w:t xml:space="preserve"> В.Д.,  </w:t>
      </w:r>
    </w:p>
    <w:p w:rsidR="00A77B3E">
      <w:r>
        <w:t xml:space="preserve">при секретаре – Масловой А.О., </w:t>
      </w:r>
    </w:p>
    <w:p w:rsidR="00A77B3E">
      <w:r>
        <w:t xml:space="preserve">рассмотрев в открытом судебном заседании гражданское дело </w:t>
      </w:r>
      <w:r>
        <w:t xml:space="preserve">по иску наименование организации к </w:t>
      </w:r>
      <w:r>
        <w:t>фио</w:t>
      </w:r>
      <w:r>
        <w:t xml:space="preserve"> о взыскании процентов за пользование чужими денежными средствами, судебных расходов,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 xml:space="preserve">Исковые </w:t>
      </w:r>
      <w:r>
        <w:t>требования наименование организации –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(ОГРНИП 305770002847369) проценты за пользование чужими денежными</w:t>
      </w:r>
      <w:r>
        <w:t xml:space="preserve"> средствами за период с дата по дата в размере сумма; расходы по оплате государственной пошлины в размере сумма, расходы на оплату услуг представителя – сумма, а всего – сумма.</w:t>
      </w:r>
    </w:p>
    <w:p w:rsidR="00A77B3E">
      <w:r>
        <w:t>В удовлетворении иных требований – отказать.</w:t>
      </w:r>
    </w:p>
    <w:p w:rsidR="00A77B3E">
      <w:r>
        <w:t>Лица, участвующие в деле, их предс</w:t>
      </w:r>
      <w:r>
        <w:t>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</w:t>
      </w:r>
      <w:r>
        <w:t xml:space="preserve">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</w:t>
      </w:r>
      <w:r>
        <w:t>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</w:t>
      </w:r>
      <w:r>
        <w:t>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</w:t>
      </w:r>
      <w:r>
        <w:t>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00"/>
    <w:rsid w:val="00A77B3E"/>
    <w:rsid w:val="00F15B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