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2-89-98/2025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>Руководств</w:t>
      </w:r>
      <w:r>
        <w:t xml:space="preserve">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</w:t>
      </w:r>
      <w:r>
        <w:t>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за период с дата по дата в размере сумма, а всего сумма.</w:t>
      </w:r>
    </w:p>
    <w:p w:rsidR="00A77B3E">
      <w:r>
        <w:t xml:space="preserve">Взыскать с </w:t>
      </w:r>
      <w:r>
        <w:t>фио</w:t>
      </w:r>
      <w:r>
        <w:t>, паспорт</w:t>
      </w:r>
      <w:r>
        <w:t>ные данные)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>Взыскание неустойки, рассчитываемой в соответствии с частью 14.1 статьи 155 Жилищного кодекса Россий</w:t>
      </w:r>
      <w:r>
        <w:t xml:space="preserve">ской Федерации, производить с </w:t>
      </w:r>
      <w:r>
        <w:t>фио</w:t>
      </w:r>
      <w:r>
        <w:t>, паспортные данные) в пользу наименование организации (ИНН телефон, ОГРН 1149102183735) по дату фактического исполнения обязательств.</w:t>
      </w:r>
    </w:p>
    <w:p w:rsidR="00A77B3E">
      <w:r>
        <w:t>Лица, участвующие в деле, их представители, присутствовавшие в судебном заседании, вправ</w:t>
      </w:r>
      <w:r>
        <w:t>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>
        <w:t>мотивированного решения суда в течение пятнадцать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</w:t>
      </w:r>
      <w:r>
        <w:t>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Феодосийский городской суд адрес  через мирового судью судебного участка №89 Феодосийского </w:t>
      </w:r>
      <w:r>
        <w:t>судебного района (городской адрес) адрес  в течение месяца со дня</w:t>
      </w:r>
      <w:r>
        <w:t xml:space="preserve">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A6"/>
    <w:rsid w:val="00A77B3E"/>
    <w:rsid w:val="00BF33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