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2-89-380/2022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</w:t>
      </w:r>
      <w:r>
        <w:t xml:space="preserve">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о наименование организации к </w:t>
      </w:r>
      <w:r>
        <w:t>фио</w:t>
      </w:r>
      <w:r>
        <w:t xml:space="preserve"> о взыскании долга по договору займа и процентов,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</w:t>
      </w:r>
      <w:r>
        <w:t>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проживающего по адресу: адрес, в пользу наименование организации (ОГРНИП: 313182836500010) сумму задолженности в размере сумма, а также судебные расходы, связанные с оплатой государственной пошлины в </w:t>
      </w:r>
      <w:r>
        <w:t>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</w:t>
      </w:r>
      <w:r>
        <w:t>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</w:t>
      </w:r>
      <w:r>
        <w:t>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 199 Гражданского процессуального кодекса РФ мировой судья может не составлять мотивированное решение суда по рассмотренному</w:t>
      </w:r>
      <w:r>
        <w:t xml:space="preserve">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</w:t>
      </w:r>
      <w: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</w:t>
      </w:r>
      <w:r>
        <w:t>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/подпись/)    </w:t>
      </w:r>
      <w:r>
        <w:tab/>
        <w:t xml:space="preserve">  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1E"/>
    <w:rsid w:val="00A77B3E"/>
    <w:rsid w:val="00D50A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