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2-89-414/2023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</w:t>
      </w:r>
      <w:r>
        <w:t xml:space="preserve">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долга по договору займа и процентов на основании договора цессии, -</w:t>
      </w:r>
    </w:p>
    <w:p w:rsidR="00A77B3E">
      <w:r>
        <w:t>Р Е Ш И Л:</w:t>
      </w:r>
    </w:p>
    <w:p w:rsidR="00A77B3E"/>
    <w:p w:rsidR="00A77B3E">
      <w:r>
        <w:t>Исковые требов</w:t>
      </w:r>
      <w:r>
        <w:t>ания наименование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 xml:space="preserve">, паспортные данные, </w:t>
      </w:r>
      <w:r>
        <w:t>в пользу наименование организ</w:t>
      </w:r>
      <w:r>
        <w:t xml:space="preserve">ации </w:t>
      </w:r>
      <w:r>
        <w:t>сумму задолженности в размере сумма, из которых сумма основного долга в размере сумма</w:t>
      </w:r>
      <w:r>
        <w:t>, проценты за пользо</w:t>
      </w:r>
      <w:r>
        <w:t>вание займом за период с дата по дата в размере сумма, проценты за пользование денежными средствами за период с дата по дата в размере сумма, а также судебные расходы, связанные с оплатой государственной пошлины, в размере сумма</w:t>
      </w:r>
    </w:p>
    <w:p w:rsidR="00A77B3E">
      <w:r>
        <w:t>Ответчик вправе подать в су</w:t>
      </w:r>
      <w:r>
        <w:t>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</w:t>
      </w:r>
      <w:r>
        <w:t>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</w:t>
      </w:r>
      <w:r>
        <w:t>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</w:t>
      </w:r>
      <w:r>
        <w:t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A"/>
    <w:rsid w:val="00243B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