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2-89-814/2024</w:t>
      </w:r>
    </w:p>
    <w:p w:rsidR="00A77B3E">
      <w:r>
        <w:t>УИД: 91ms0089-телефон-телефон</w:t>
      </w:r>
    </w:p>
    <w:p w:rsidR="00A77B3E">
      <w:r>
        <w:t xml:space="preserve">                                                         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адрес                                                                           </w:t>
      </w:r>
      <w:r>
        <w:t xml:space="preserve">                             дата</w:t>
      </w:r>
    </w:p>
    <w:p w:rsidR="00A77B3E">
      <w:r>
        <w:t xml:space="preserve">            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</w:t>
      </w:r>
      <w:r>
        <w:t>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общества с</w:t>
      </w:r>
      <w:r>
        <w:t xml:space="preserve"> ограниченной ответственностью </w:t>
      </w:r>
      <w:r>
        <w:t>микрофинансовая</w:t>
      </w:r>
      <w:r>
        <w:t xml:space="preserve"> наименование организации (ОГРН 1145476064711, ИНН 5407496776) задолженность по договору займа № 2238305 от дата, начисленной за период с дата по дата в размере сумма, в том числе основной долг – сумма, процент</w:t>
      </w:r>
      <w:r>
        <w:t>ы по договору займа – сумма, а также судебные расходы по оплате госпошлины в сумме сумма. Всего подлежит взысканию денежные средства в размере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</w:t>
      </w:r>
      <w:r>
        <w:t>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</w:t>
      </w:r>
      <w:r>
        <w:t>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Феодосийский городской суд адр</w:t>
      </w:r>
      <w:r>
        <w:t>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Мотивир</w:t>
      </w:r>
      <w:r>
        <w:t>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 xml:space="preserve">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</w:t>
      </w:r>
      <w:r>
        <w:t xml:space="preserve">если лица, участвующие в деле, их представители не присутствовали в </w:t>
      </w:r>
      <w:r>
        <w:t>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/подпись/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CA"/>
    <w:rsid w:val="005773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