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1F53">
      <w:pPr>
        <w:pStyle w:val="20"/>
        <w:shd w:val="clear" w:color="auto" w:fill="auto"/>
        <w:spacing w:after="31" w:line="240" w:lineRule="exact"/>
      </w:pPr>
      <w:r>
        <w:t>РЕШЕНИЕ</w:t>
      </w:r>
    </w:p>
    <w:p w:rsidR="00931F53">
      <w:pPr>
        <w:pStyle w:val="20"/>
        <w:shd w:val="clear" w:color="auto" w:fill="auto"/>
        <w:spacing w:after="288" w:line="240" w:lineRule="exact"/>
      </w:pPr>
      <w:r>
        <w:t>ИМЕНЕМ РОССИЙСКОЙ ФЕДЕРАЦИИ</w:t>
      </w:r>
    </w:p>
    <w:p w:rsidR="00931F53">
      <w:pPr>
        <w:pStyle w:val="20"/>
        <w:shd w:val="clear" w:color="auto" w:fill="auto"/>
        <w:tabs>
          <w:tab w:val="left" w:pos="6293"/>
        </w:tabs>
        <w:spacing w:after="0" w:line="240" w:lineRule="exact"/>
      </w:pPr>
      <w:r>
        <w:t>23 июля 2021 года</w:t>
      </w:r>
      <w:r>
        <w:tab/>
        <w:t>Дело №2-9-283/2021</w:t>
      </w:r>
    </w:p>
    <w:p w:rsidR="00931F53">
      <w:pPr>
        <w:pStyle w:val="20"/>
        <w:shd w:val="clear" w:color="auto" w:fill="auto"/>
        <w:spacing w:after="266" w:line="240" w:lineRule="exact"/>
        <w:ind w:left="6040"/>
        <w:jc w:val="left"/>
      </w:pPr>
      <w:r>
        <w:t>№02-0283/9/2021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Мировой судья судебного участка №9 Киевского судебного района города Симферополь (г.Симферополь, ул.Киевская, 55/2, кабинет №53) Слоболинская И.Е.,</w:t>
      </w:r>
    </w:p>
    <w:p w:rsidR="00931F53">
      <w:pPr>
        <w:pStyle w:val="20"/>
        <w:shd w:val="clear" w:color="auto" w:fill="auto"/>
        <w:spacing w:after="0" w:line="274" w:lineRule="exact"/>
      </w:pPr>
      <w:r>
        <w:t xml:space="preserve">при ведении </w:t>
      </w:r>
      <w:r>
        <w:t>протокола и аудиопротоколирования секретарем судебного заседания Хицун В.В.,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при участии истца Мышалова М.П., его представителя Капицына В.Ю., представителя ответчика Шабаниной Е.С.,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рассмотрев в открытом судебном заседании гражданское дело по исковому зая</w:t>
      </w:r>
      <w:r>
        <w:t>влению Мышалова ... к Государственному бюджетному учреждению Республики Крым «Центр землеустройства и кадастровой оценки» о защите прав потребителей,</w:t>
      </w:r>
    </w:p>
    <w:p w:rsidR="00931F53">
      <w:pPr>
        <w:pStyle w:val="20"/>
        <w:shd w:val="clear" w:color="auto" w:fill="auto"/>
        <w:spacing w:after="240" w:line="274" w:lineRule="exact"/>
        <w:ind w:left="2900"/>
        <w:jc w:val="left"/>
      </w:pPr>
      <w:r>
        <w:t>установил: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Мышалов М.П. обратился (уточнив заявленные требования) с исковым заявлением к ГБУ РК «Центр зем</w:t>
      </w:r>
      <w:r>
        <w:t>леустройства и кадастровой оценки», просит расторгнуть договор №номер от дата, взыскать денежную сумму в размере 6 964,83 рублей, уплаченную за выполнение работ по договору №номер от 01 марта 2017 года, проценты за пользование чужими денежными средствами в</w:t>
      </w:r>
      <w:r>
        <w:t xml:space="preserve"> размере 1786,36 рублей, неустойку за нарушение срока выполнения работ в размере 6964,83 рублей, штраф за неудовлетворение в добровольном порядке требований потребителя в размере 50% от суммы, присужденном судом в пользу потребителя, компенсацию морального</w:t>
      </w:r>
      <w:r>
        <w:t xml:space="preserve"> вреда в размере 300 000 рублей.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Требования мотивированы тем, что 01 марта 2017 года между истцом и ответчиком был заключен договор №номер на выполнение работ по формированию межевого плана принадлежащего Мышалову М.П. на праве собственности земельного уча</w:t>
      </w:r>
      <w:r>
        <w:t xml:space="preserve">стка, расположенного по адресу: адрес. Истец предоставил ответчику все имеющиеся у него исходные данные, необходимые для проведения всех этапов формирования межевого плана земельного участка, оплата работ в размере 6964,83 рублей была произведена в полном </w:t>
      </w:r>
      <w:r>
        <w:t>объеме, однако, ни в установленный договором срок, ни до настоящего времени, работы по договору не выполнены, изготовленный межевой план в электронном виде ему не представлен, договор ответчиком не расторгнут, денежные средства не возвращены, чем нарушаютс</w:t>
      </w:r>
      <w:r>
        <w:t>я законные права и интересы Мышалова М.П., который был вынужден обратиться с иском в Феодосийский городской суд Республики Крым к собственникам соседнего участка для установления границ принадлежащего ему земельного участка. Ссылается на недопустимость док</w:t>
      </w:r>
      <w:r>
        <w:t>азательства - акта приема-передачи выполненных работ от дата, пустой бланк которого он подписал в день заключения договора.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Мышалов М.П. и его представитель Капицын В.Ю. в судебном заседании исковые требования поддержали по доводам, изложенным в иске, прос</w:t>
      </w:r>
      <w:r>
        <w:t>или удовлетворить.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Представитель ответчика Шабанина Е.С. в судебном заседании исковые требования не признала, просила отказать в удовлетворении иска, пояснив, что Мышалов М.П. отказался от подписания предоставленного ему акта согласования местоположения </w:t>
      </w:r>
      <w:r>
        <w:t>гр</w:t>
      </w:r>
      <w:r>
        <w:t>аниц земельного участка. В его адрес дата направлено письмо о необходимости согласования границ земельного участка с соседями, а также извещение о проведении собрания о согласовании местоположения границ земельного участка. Письмом от 25 сентября 2017 года</w:t>
      </w:r>
      <w:r>
        <w:t xml:space="preserve"> №3номер заказчику был направлен проект межевого плана земельного участка на бумажном носителе на 10 листах и результаты плановой съемки земельного участка. Результат выполненных работ по договору от 01 марта 2017 года №номер - межевой план земельного учас</w:t>
      </w:r>
      <w:r>
        <w:t>тка, расположенного по адресу: адрес, на бумажном носителе был оплачен и получен, также он был получен Мышаловым М.П. в электронном виде, о чем дата сторонами подписан акт приемки-сдачи выполненных работ без замечаний, что свидетельствует о полном выполнен</w:t>
      </w:r>
      <w:r>
        <w:t>ии подрядчиком условий договора.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Заслушав пояснения истца, его представителя и представителя ответчика, исследовав материалы дела, суд находит исковые требования подлежащими частичному удовлетворению по следующим основаниям.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Мышалову М.П. принадлежит на </w:t>
      </w:r>
      <w:r>
        <w:t>праве собственности земельный участок площадью 0,10га, расположенный по адресу: адрес (государственный акт серия номер (т.1 л.д. 46-48).</w:t>
      </w:r>
    </w:p>
    <w:p w:rsidR="00931F53">
      <w:pPr>
        <w:pStyle w:val="20"/>
        <w:shd w:val="clear" w:color="auto" w:fill="auto"/>
        <w:tabs>
          <w:tab w:val="left" w:pos="8083"/>
        </w:tabs>
        <w:spacing w:after="0" w:line="274" w:lineRule="exact"/>
      </w:pPr>
      <w:r>
        <w:t>В соответствии с условиями договора подряда на выполнение работ</w:t>
      </w:r>
      <w:r>
        <w:tab/>
        <w:t>№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номер, заключенного 01 марта 2017 года между Мышаловы</w:t>
      </w:r>
      <w:r>
        <w:t>м М.П. и Государственным унитарным предприятием Республики Крым «Научно</w:t>
      </w:r>
      <w:r>
        <w:softHyphen/>
        <w:t>исследовательский и проектный институт землеустройства, кадастра и оценки недвижимого имущества» (правопреемник - Государственное бюджетное учреждение Республики Крым «Центр землеустро</w:t>
      </w:r>
      <w:r>
        <w:t>йства и кадастровой оценки» на основании распоряжения Совета министров Республики Крым от 25 января 2018 года №70-р) (далее - Договор), подрядчик обязался в течение 3-х месяцев с момента предоставления заказчиком необходимых документов и сведений выполнить</w:t>
      </w:r>
      <w:r>
        <w:t xml:space="preserve"> работы по формированию межевого плана земельного участка (адрес), результатом которых является передача данных на бумажном и/или электронном носителях в соответствии с актом приема-передачи, а заказчик обязуется оплатить и принять эти работы (т.1 л.д. 9-1</w:t>
      </w:r>
      <w:r>
        <w:t>0).</w:t>
      </w:r>
    </w:p>
    <w:p w:rsidR="00931F53">
      <w:pPr>
        <w:pStyle w:val="20"/>
        <w:shd w:val="clear" w:color="auto" w:fill="auto"/>
        <w:spacing w:after="0" w:line="274" w:lineRule="exact"/>
      </w:pPr>
      <w:r>
        <w:t>Мышалов М.П. оплатил работы согласно условий заключенного Договора (т.1 л.д. 11), что признается ответчиком.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Ответчик при рассмотрении дела не ссылался на какие-либо нарушения истцом заключенного между сторонами Договора в установленный им срок.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 28 и</w:t>
      </w:r>
      <w:r>
        <w:t>юля 2017 года Мышалов М.П. начал вести претензионную деятельность, направляя изначально требования о проведении работ в разумный срок, а затем о расторжении Договора, возврате уплаченных денежных средств и процентов за пользование ими (т.1 л.д.20-21, 23-24</w:t>
      </w:r>
      <w:r>
        <w:t>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После начала претензионной деятельности подрядчик сообщил о приостановлении кадастровых работ для проведения собрания о согласовании местоположения границ земельного участка, а также о направлении проекта межевого плана в бумажном варианте (т.1 л.д. 85,</w:t>
      </w:r>
      <w:r>
        <w:t xml:space="preserve"> 87).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Федеральным законом от 24 июля 2007 года № 221 «О кадастровой деятельности» определено, что результатом кадастровых работ инженера является межевой план, который заверяется подписью (цифровой подписью при изготовлении электронного варианта межевого п</w:t>
      </w:r>
      <w:r>
        <w:t xml:space="preserve">лана) и печатью кадастрового инженера, подготовившего и </w:t>
      </w:r>
      <w:r>
        <w:t>оформившего план.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 соответствии со ст. 22 Федерального закона от 13 июля 2015 года № 218 «О государственной регистрации недвижимости» межевой план подготавливается в электронном виде, подписывается у</w:t>
      </w:r>
      <w:r>
        <w:t>силенной квалифицированной электронной подписью кадастрового инженера. Для кадастрового учета предоставляется исключительно в электронном виде. В договоре подряда возможно условие, что кадастровый инженер поместит его на временное хранение в электронное хр</w:t>
      </w:r>
      <w:r>
        <w:t>анилище ЕГРН.</w:t>
      </w:r>
    </w:p>
    <w:p w:rsidR="00931F53">
      <w:pPr>
        <w:pStyle w:val="20"/>
        <w:shd w:val="clear" w:color="auto" w:fill="auto"/>
        <w:tabs>
          <w:tab w:val="left" w:pos="7406"/>
        </w:tabs>
        <w:spacing w:after="0" w:line="274" w:lineRule="exact"/>
        <w:jc w:val="left"/>
      </w:pPr>
      <w:r>
        <w:t>Аналогичные требования содержатся в Приказе Министерства экономического развития Российской Федерации от 08 декабря 2015 года</w:t>
      </w:r>
      <w:r>
        <w:tab/>
        <w:t>№ 921 «Об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утверждении формы и состава сведений межевого плана, требований к его подготовке».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 проекте межевого план</w:t>
      </w:r>
      <w:r>
        <w:t>а, изготовленного ГБУ РК «Центр землеустройства и кадастровой оценки», отсутствуют те сведения, которые должны в нем содержатся в силу указанных положений законодательства, в том числе акт согласования местоположения границ земельного участка (ст. 40 Федер</w:t>
      </w:r>
      <w:r>
        <w:t>ального закона от 24 июля 2007 года № 221 «О кадастровой деятельности»), доказательств уклонения истца от подписания такого акта стороной ответчика не представлено.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Таким образом, в силу вышеизложенных требований законодательства, межевой план на бумажном </w:t>
      </w:r>
      <w:r>
        <w:t>носителем является второстепенным документом, а для кадастрового учета он должен быть изготовлен исключительно в электронном виде.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Как следует из акта приемки-сдачи выполненных работ по Договору, подписанного сторонами, результат работ по формированию меже</w:t>
      </w:r>
      <w:r>
        <w:t>вого плана на земельный участок, расположенный по адресу: адрес, передан заказчику на бумажном и электронном носителях.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Судом отклоняются доводы ответчика со ссылкой на указанный акт о получении Мышаловым М.П. результата работ в электронном варианте.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Так, </w:t>
      </w:r>
      <w:r>
        <w:t>Мышалов М.П. неизменно и последовательно утверждал о том, что акт приема-сдачи выполненных работ подписан им в день заключения Договора.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Кроме того, истец настаивал на том, что в электронном варианте межевой план земельного участка им не был получен.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Истцо</w:t>
      </w:r>
      <w:r>
        <w:t>м предоставлен указанный акт, подписанный начальником Феодосийского отдела кадастра Канищевой Г.В., которому не присвоен номер и который не содержит дату его подписания (т.1 л.д. 11).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Вместе с тем, ответчиком предоставлен второй экземпляр акта, также подпи</w:t>
      </w:r>
      <w:r>
        <w:t>санного сторонами Договора, датированный дата с присвоением № номер (т.1 л.д. 215).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Относительно существенных различий в двух экземплярах одного и того же документа представитель ответчика не смог дать убедительные пояснения.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О непоследовательной позиции о</w:t>
      </w:r>
      <w:r>
        <w:t xml:space="preserve">тветчика свидетельствует также и то обстоятельство, что в письменных возражениях на исковое заявление он ссылается на то, что подрядчиком выполнены в полном объеме все условия Договора, и заказчик получил результат в виде межевого плана земельного участка </w:t>
      </w:r>
      <w:r>
        <w:t>на бумажном носителе (т.1 л.д. 211-213).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В дальнейшем, ответчик настаивал на том, что работы были выполнены и в электронном варианте. Однако, суду выполненный межевой план в соответствующем действующему законодательству виде с усиленной </w:t>
      </w:r>
      <w:r>
        <w:t xml:space="preserve">квалифицированной </w:t>
      </w:r>
      <w:r>
        <w:t>электронной подписью кадастрового инженера не представил, ссылаясь на фактическое отсутствие, реорганизацию предприятия, увольнение сотрудников и ряд иных причин, которые не могут быть отнесены судом к уважительным.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Каждая сторона обязана доказать те обсто</w:t>
      </w:r>
      <w:r>
        <w:t>ятельства, на которые она ссылается в обоснование своих требований и возражений (ст. 56 ГПК РФ).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Согласно пункту 3 статьи 1 ГК РФ при установлении, осуществлении и защите гражданских прав и при исполнении гражданских обязанностей участники гражданских прав</w:t>
      </w:r>
      <w:r>
        <w:t>оотношений должны действовать добросовестно. В силу пункта 4 статьи 1 ГК РФ никто не вправе извлекать преимущество из своего незаконного или недобросовестного поведения.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Оценивая действия сторон как добросовестные или недобросовестные, следует исходить из </w:t>
      </w:r>
      <w:r>
        <w:t>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По общему правилу пункта 5 статьи 10 ГК РФ добросовестность участников</w:t>
      </w:r>
      <w:r>
        <w:t xml:space="preserve"> гражданских правоотношений и разумность их действий предполагаются, пока не доказано иное.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Поведение одной из сторон может быть признано недобросовестным не только при наличии обоснованного заявления другой стороны, но и по инициативе суда, если усматрива</w:t>
      </w:r>
      <w:r>
        <w:t>ется очевидное отклонение действий участника гражданского оборота от добросовестного поведения (разъяснения пункта 1 Постановления Пленума Верховного Суда Российской Федерации» от 23 июня 2015 года «О применении судами некоторых положений раздела 1 части п</w:t>
      </w:r>
      <w:r>
        <w:t>ервой Гражданского кодекса Российской Федерации»).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Статьей 309 ГК РФ определено, что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</w:t>
      </w:r>
      <w:r>
        <w:t>ребований - в соответствии с обычаями или иными обычно предъявляемыми требованиями. Согласно ст. 702 ГК РФ по договору подряда одна сторона (подрядчик) обязуется выполнить по заданию другой стороны (заказчика) определенную работу и сдать ее результат заказ</w:t>
      </w:r>
      <w:r>
        <w:t>чику, а заказчик обязуется принять результат работы и оплатить его. Как установлено положениями статьи 730 ГК РФ, по договору бытового подряда подрядчик, осуществляющий соответствующую предпринимательскую деятельность, обязуется выполнить по заданию гражда</w:t>
      </w:r>
      <w:r>
        <w:t>нина (заказчика) определенную работу, предназначенную удовлетворять бытовые или другие личные потребности заказчика, а заказчик обязуется принять и оплатить работу. Договор бытового подряда является публичным договором (статья 426 ГК РФ). К отношениям по д</w:t>
      </w:r>
      <w:r>
        <w:t>оговору бытового подряда, не урегулированным настоящим Кодексом, применяются законы о защите прав потребителей и иные правовые акты, принятые в соответствии с ними.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 силу части 2 статьи 4 Федерального закона № 2300-1 от 07 февраля 1992 года «О защите прав</w:t>
      </w:r>
      <w:r>
        <w:t xml:space="preserve"> потребителей», при отсутствии в договоре условий о качестве работы, услуги исполнитель обязан передать потребителю результат работы соответствующий обычно предъявляемым требованиям и пригодный для целей, для которых работа такого рода обычно используется.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Таким образом, в данном случае исполнитель был обязан выполнить работу и </w:t>
      </w:r>
      <w:r>
        <w:t>передать потребителю ее результат, соответствующий положениям Федерального закона от 24 июля 2007 года № 221 «О кадастровой деятельности», то есть подготовить межевой план для устано</w:t>
      </w:r>
      <w:r>
        <w:t>вления границ земельного участка и внесения изменений в ЕГРН (в электронном виде, подписанный усиленной квалифицированной подписью кадастрового инженера), что выполнено не было. Согласно ст.ст. 27, 28 Федерального закона № 2300-1 от 07 февраля 1992 года «О</w:t>
      </w:r>
      <w:r>
        <w:t xml:space="preserve"> защите прав потребителей», исполнитель обязан осуществить выполнение работы (оказание услуги) в срок, установленный правилами выполнения отдельных видов работ (оказания отдельных видов услуг) или договором о выполнении работ (оказании услуг).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Если исполни</w:t>
      </w:r>
      <w:r>
        <w:t>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</w:t>
      </w:r>
      <w:r>
        <w:t>о она не будет выполнена в срок, потребитель по своему выбору вправе: назначить исполнителю новый срок;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</w:t>
      </w:r>
      <w:r>
        <w:t>енных расходов; потребовать уменьшения цены за выполнение работы (оказание услуги); отказаться от исполнения договора о выполнении работы (оказании услуги).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Потребитель вправе потребовать также полного возмещения убытков, причиненных ему в связи с нарушени</w:t>
      </w:r>
      <w:r>
        <w:t>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При разрешении требований потребителей необходимо учитывать, что бремя доказывания обстоятельств, освобождаю</w:t>
      </w:r>
      <w:r>
        <w:t>щих от ответственности за неисполнение либо ненадлежащее исполнение обязательства, в том числе и за причинение вреда, лежит на исполнителе, уполномоченной организации (п.28 Постановления Пленума Верховного Суда Российской Федерации от 28 июня 2012 года № 1</w:t>
      </w:r>
      <w:r>
        <w:t>7 «О рассмотрении судами гражданских дел по спорам о защите прав потребителей»). Согласно части 2 статьи 450 ГК РФ по требованию одной из сторон договор может быть изменен или расторгнут по решению суда только: 1) при существенном нарушении договора другой</w:t>
      </w:r>
      <w:r>
        <w:t xml:space="preserve"> стороной; 2) в иных случаях, предусмотренных настоящим Кодексом, другими законами или договором.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</w:t>
      </w:r>
      <w:r>
        <w:t>что была вправе рассчитывать при заключении договора.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Как установлено положениями ст. 452 ГК РФ,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</w:t>
      </w:r>
      <w:r>
        <w:t>расторгнуть договор либо неполучения ответа в срок, указанный в предложении или установленный законом либо договором, а при его отсутствии - в тридцатидневный срок.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Как установлено судом и не оспаривается ответчиком, Мышалов М.П. обращался в адрес ответчик</w:t>
      </w:r>
      <w:r>
        <w:t>а с требованием расторгнуть Договор.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В связи с изложенным, суд считает обоснованными и подлежащими удовлетворению исковые требования о расторжении договора подряда на </w:t>
      </w:r>
      <w:r>
        <w:t>выполнение работ № номер от дата, заключенного между сторонами.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В соответствии с ч.4 ст. </w:t>
      </w:r>
      <w:r>
        <w:t xml:space="preserve">453 ГК РФ, в случае, когда до расторжения или изменения договора одна из сторон, получив от другой стороны исполнение обязательства по договору, не исполнила свое обязательство либо предоставила другой стороне неравноценное исполнение, к отношениям сторон </w:t>
      </w:r>
      <w:r>
        <w:t>применяются правила об обязательствах вследствие неосновательного обогащения (глава 60), если иное не предусмотрено законом или договором либо не вытекает из существа обязательства.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Таким образом, требования истца о взыскании денежных средств, уплаченных п</w:t>
      </w:r>
      <w:r>
        <w:t>о расторгнутому судом договору подряда на выполнение работ, в размере 6964,83 рублей подлежат удовлетворению в полном объеме.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 соответствии со ст. 28 Федерального закона № 2300-1 от 07 февраля 1992 года «О защите прав потребителей», в случае нарушения уст</w:t>
      </w:r>
      <w:r>
        <w:t>ановленных сроков выполнения работы (оказания услуги) или назначенных потребителем на основании пункта 1 настоящей статьи новых сроков исполнитель уплачивает потребителю за каждый день (час, если срок определен в часах) просрочки неустойку (пеню) в размере</w:t>
      </w:r>
      <w:r>
        <w:t xml:space="preserve"> трех процентов цены выполнения работы (оказания услуги), а если цена выполнения работы (оказания услуги) договором о выполнении работ (оказании услуг) не определена - общей цены заказа. Договором о выполнении работ (оказании услуг) между потребителем и ис</w:t>
      </w:r>
      <w:r>
        <w:t>полнителем может быть установлен более высокий размер неустойки (пени).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Неустойка (пеня) за нарушение сроков окончания выполнения работы (оказания услуги), ее этапа взыскивается за каждый день (час, если срок определен в часах) просрочки вплоть до окончани</w:t>
      </w:r>
      <w:r>
        <w:t>я выполнения работы (оказания услуги), ее этапа или предъявления потребителем требований, предусмотренных пунктом 1 настоящей статьи.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Сумма взысканной потребителем неустойки (пени) не может превышать цену отдельного вида выполнения работы (оказания услуги)</w:t>
      </w:r>
      <w:r>
        <w:t xml:space="preserve"> или общую цену заказа, если цена выполнения отдельного вида работы (оказания услуги) не определена договором о выполнении работы (оказании услуги).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Размер неустойки (пени) определяется, исходя из цены выполнения работы (оказания услуги), а если указанная </w:t>
      </w:r>
      <w:r>
        <w:t>цена не определена, исходя из общей цены заказа, существовавшей в том месте,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решения, если тре</w:t>
      </w:r>
      <w:r>
        <w:t>бование потребителя добровольно удовлетворено не было.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Требования истца о взыскании неустойки подлежат удовлетворению (начиная с дата на день вынесения судебного решения) (6964,83*1439*3%), в пределах размера основного долга (цены выполнения работы) - 6964</w:t>
      </w:r>
      <w:r>
        <w:t>,83 рублей.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Согласно ст. 395 ГК РФ в случаях неправомерного удержания денежных средств, уклонения от их возврата, иной просрочки в их уплате подлежат проценты на сумму долга. В случае, когда соглашением сторон предусмотрена уплата неустойки за неисполнение</w:t>
      </w:r>
      <w:r>
        <w:t xml:space="preserve"> или ненадлежащее исполнение денежного обязательства, предусмотренные настоящей статьей проценты не подлежат взысканию, если иное не предусмотрено законом или договором.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Согласно п. 5.1 Договора стороны несут ответственность за неисполнение или </w:t>
      </w:r>
      <w:r>
        <w:t>ненадлежаще</w:t>
      </w:r>
      <w:r>
        <w:t>е исполнение обязательств по Договору в соответствии с законодательством Российской Федерации.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Из разъяснений, содержащихся в п. 34 Постановления Пленума Верховного Суда Российской Федерации от 28 июня 2012 года № 17 «О рассмотрении судами гражданских дел </w:t>
      </w:r>
      <w:r>
        <w:t>по спорам о защите прав потребителей», следует, что в денежных обязательствах, возникших из гражданско-правовых договоров, предусматривающих обязанность должника произвести оплату товаров (работ, услуг) либо уплатить полученные на условиях возврата денежны</w:t>
      </w:r>
      <w:r>
        <w:t>е средства, на просроченную уплатой сумму могут быть начислены проценты на основании статьи 395 ГК РФ. Неустойка за одно и то же нарушение денежного обязательства может быть взыскана одновременно с процентами, установленными данной нормой, только в том слу</w:t>
      </w:r>
      <w:r>
        <w:t>чае, если неустойка носит штрафной характер и подлежит взысканию помимо убытков, понесенных при неисполнении денежного обязательства.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Согласно разъяснениям пункта 42 Постановления Пленума Верховного Суда Российской Федерации от 24 марта 2016 года № 7 «О пр</w:t>
      </w:r>
      <w:r>
        <w:t>именении судами некоторых положений гражданского кодекса Российской Федерации об ответственности за нарушение обязательств», если законом или соглашением сторон установлена неустойка за нарушение денежного обязательства, на которую распространяется правило</w:t>
      </w:r>
      <w:r>
        <w:t xml:space="preserve"> абзаца первого пункта 1 статьи 394 ГК РФ, то положения пункта 1 статьи 395 ГК РФ не применяются. В этом случае взысканию подлежит неустойка, установленная законом или соглашением сторон, а не проценты, предусмотренные статьей 395 ГК РФ (пункт 4 статьи 395</w:t>
      </w:r>
      <w:r>
        <w:t xml:space="preserve"> ГК РФ).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Таким образом, требования истца о взыскании процентов за пользование чужими денежными средствами, заявленные наряду с требованиями о взыскании неустойки, по данному виду обязательства не подлежат удовлетворению.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В соответствии со ст. 151 ГК РФ, </w:t>
      </w:r>
      <w:r>
        <w:t>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</w:t>
      </w:r>
      <w:r>
        <w:t>уд может возложить на нарушителя обязанность денежной компенсации указанного вреда. 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</w:t>
      </w:r>
      <w:r>
        <w:t>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Согласно ст. 1101 ГК РФ, компенсация морального вреда осуществляется в денежной форме. Размер компенсации морального вреда опред</w:t>
      </w:r>
      <w:r>
        <w:t>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</w:t>
      </w:r>
      <w:r>
        <w:t>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 xml:space="preserve">В соответствии со ст. 15 </w:t>
      </w:r>
      <w:r>
        <w:t xml:space="preserve">Федерального закона № 2300-1 от 07 февраля 1992 года «О </w:t>
      </w:r>
      <w:r>
        <w:t>защите прав потребителей»,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</w:t>
      </w:r>
      <w:r>
        <w:t xml:space="preserve">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</w:t>
      </w:r>
      <w:r>
        <w:t>вреда определяется судом и не зависит от размера возмещения имущественного вреда.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При определении размера компенсации морального вр</w:t>
      </w:r>
      <w:r>
        <w:t xml:space="preserve">еда по настоящему делу, суд исходит из характера взаимоотношений, сложившихся между сторонами спора, длительности претензионной деятельности, учитывает возраст истца и состояние его здоровья (т.1 л.д. 44), пояснения о причиненных нравственных переживаниях </w:t>
      </w:r>
      <w:r>
        <w:t>в связи с необходимостью отстаивать свои права во многих государственных органах различных инстанций, перенесенном стрессе и бессоннице, и, руководствуясь принципами разумности и справедливости, считает необходимым удовлетворить исковые требования в данной</w:t>
      </w:r>
      <w:r>
        <w:t xml:space="preserve"> части на сумму 10 000 рублей.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Кроме того, согласно ч.6 ст. 13 Федерального закона № 2300-1 от 07 февраля 1992 года «О защите прав потребителей» при удовлетворении судом требований потребителя, установленных законом, суд взыскивает с изготовителя (исполнит</w:t>
      </w:r>
      <w:r>
        <w:t>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пятидесяти процентов от суммы, присужденной судом в польз</w:t>
      </w:r>
      <w:r>
        <w:t>у потребителя.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Таким образом, в пользу Мышалова М.П. подлежит взысканию также штраф, определяемый пятьюдесятью процентами от той суммы, которая присуждается судом (денежных средств, уплаченных по договору подряда на выполнение работ, неустойки и компенсаци</w:t>
      </w:r>
      <w:r>
        <w:t>и морального вреда).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 соответствии со ст.103 ГПК РФ суд взыскивает с ответчика в пользу государства государственную пошлину в размере 977 рублей.</w:t>
      </w:r>
    </w:p>
    <w:p w:rsidR="00931F53">
      <w:pPr>
        <w:pStyle w:val="20"/>
        <w:shd w:val="clear" w:color="auto" w:fill="auto"/>
        <w:spacing w:after="267" w:line="274" w:lineRule="exact"/>
        <w:jc w:val="left"/>
      </w:pPr>
      <w:r>
        <w:t>На основании изложенного, руководствуясь статьями 194 - 199 Гражданского процессуального кодекса Российской Ф</w:t>
      </w:r>
      <w:r>
        <w:t>едерации, мировой судья</w:t>
      </w:r>
    </w:p>
    <w:p w:rsidR="00931F53">
      <w:pPr>
        <w:pStyle w:val="20"/>
        <w:shd w:val="clear" w:color="auto" w:fill="auto"/>
        <w:spacing w:after="206" w:line="240" w:lineRule="exact"/>
        <w:jc w:val="left"/>
      </w:pPr>
      <w:r>
        <w:t>решил: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исковое заявление Мышалова ... к Государственному бюджетному учреждению Республики Крым «Центр землеустройства и кадастровой оценки» о защите прав потребителей - удовлетворить частично.</w:t>
      </w:r>
      <w:r>
        <w:br w:type="page"/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Расторгнуть договор подряда на выполне</w:t>
      </w:r>
      <w:r>
        <w:t>ние работ № номер от дата, заключенный между Мышаловым фио и Государственным унитарным предприятием Республики Крым «Научно-исследовательский и проектный институт землеустройства, кадастра и оценки недвижимого имущества» (правопреемник - Государственное бю</w:t>
      </w:r>
      <w:r>
        <w:t>джетное учреждение Республики Крым «Центр землеустройства и кадастровой оценки»).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Взыскать с Государственного бюджетного учреждения Республики Крым «Центр землеустройства и кадастровой оценки» в пользу Мышалова ..., личные данные, денежные средства, уплаче</w:t>
      </w:r>
      <w:r>
        <w:t>нные по договору подряда на выполнение работ № номер от дата, в размере 6964 (шесть тысяч девятьсот шестьдесят четыре) рубля 83 копейки, неустойку в размере 6964 (шесть тысяч девятьсот шестьдесят четыре) рубля 83 копейки, компенсацию морального вреда в сум</w:t>
      </w:r>
      <w:r>
        <w:t>ме 10 000 (десять тысяч) рублей 00 копеек, штраф за несоблюдение в добровольном порядке удовлетворения требований потребителя в размере 11964 (одиннадцать тысяч девятьсот шестьдесят четыре) рубля 83 копейки, а всего 35894 (тридцать пять тысяч восемьсот дев</w:t>
      </w:r>
      <w:r>
        <w:t>яносто четыре) рубля 49 копеек.</w:t>
      </w:r>
    </w:p>
    <w:p w:rsidR="00931F53">
      <w:pPr>
        <w:pStyle w:val="20"/>
        <w:shd w:val="clear" w:color="auto" w:fill="auto"/>
        <w:spacing w:after="0" w:line="274" w:lineRule="exact"/>
        <w:jc w:val="left"/>
      </w:pPr>
      <w:r>
        <w:t>В остальной части исковых требований Мышалова ... к Государственному бюджетному учреждению Республики Крым «Центр землеустройства и кадастровой оценки» - отказать.</w:t>
      </w:r>
    </w:p>
    <w:p w:rsidR="00931F53">
      <w:pPr>
        <w:pStyle w:val="20"/>
        <w:shd w:val="clear" w:color="auto" w:fill="auto"/>
        <w:spacing w:after="236" w:line="274" w:lineRule="exact"/>
        <w:jc w:val="left"/>
      </w:pPr>
      <w:r>
        <w:t>Взыскать с Государственного бюджетного учреждения Республики</w:t>
      </w:r>
      <w:r>
        <w:t xml:space="preserve"> Крым «Центр землеустройства и кадастровой оценки» в доход бюджета (счет банка получателя платежа - 40101810335100010001, наименование банка получателя - Отделение по Республике Крым ЦБ РФ, БИК банка получателя - 043510001, получатель (ИФНС) - УФК по Респу</w:t>
      </w:r>
      <w:r>
        <w:t>блике Крым (ИФНС России по г.Симферополю Республики Крым), ИНН получателя (ИФНС) - 7707831115, КПП получателя (ИФНС) - 910201001, КБК - 18210803010011000110 (Государственная пошлина по делам, рассматриваемым в судах общей юрисдикции, мировыми судами), ОКТМ</w:t>
      </w:r>
      <w:r>
        <w:t>О - 35701000) государственную пошлину в размере 977 (девятьсот семьдесят семь) рублей.</w:t>
      </w:r>
    </w:p>
    <w:p w:rsidR="00931F53">
      <w:pPr>
        <w:pStyle w:val="20"/>
        <w:shd w:val="clear" w:color="auto" w:fill="auto"/>
        <w:spacing w:after="271" w:line="278" w:lineRule="exact"/>
        <w:jc w:val="left"/>
      </w:pPr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</w:t>
      </w:r>
      <w:r>
        <w:t>евского судебного района г.Симферополя.</w:t>
      </w:r>
    </w:p>
    <w:p w:rsidR="00931F53">
      <w:pPr>
        <w:pStyle w:val="20"/>
        <w:shd w:val="clear" w:color="auto" w:fill="auto"/>
        <w:spacing w:after="228" w:line="240" w:lineRule="exact"/>
        <w:jc w:val="left"/>
      </w:pPr>
      <w:r>
        <w:t>Мотивированное решение изготовлено 26 июля 2021 года.</w:t>
      </w:r>
    </w:p>
    <w:p w:rsidR="00931F53">
      <w:pPr>
        <w:pStyle w:val="20"/>
        <w:shd w:val="clear" w:color="auto" w:fill="auto"/>
        <w:spacing w:after="0" w:line="240" w:lineRule="exact"/>
        <w:ind w:left="4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F53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931F53">
                      <w:pPr>
                        <w:pStyle w:val="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59" w:right="1790" w:bottom="1665" w:left="176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53"/>
    <w:rsid w:val="00931F53"/>
    <w:rsid w:val="00D96B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