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Дело № 02-0604/9/2023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 xml:space="preserve">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ведении протокола судебного заседания – секретарем фио,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фио, третье лицо – ... адрес о взыскании излишне выплаченной ежемесячной денежной выплаты, 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 xml:space="preserve">Иск – удовлетворить. </w:t>
      </w:r>
    </w:p>
    <w:p w:rsidR="00A77B3E">
      <w:r>
        <w:t>Взыскать с фио, паспортные данные код телефон, зарегистрированной по адресу: адрес, в пользу наименование организации (ИНН/КПП ...) излишне выплаченную ежемесячную денежную выплату за период с дата по дата в сумме сумма.</w:t>
      </w:r>
    </w:p>
    <w:p w:rsidR="00A77B3E">
      <w:r>
        <w:t xml:space="preserve">Взыскать с фио, паспортные данные код телефон, зарегистрированной по адресу: адрес, в доход местного бюджета государственную пошлину в размере сумма. </w:t>
        <w:tab/>
        <w:tab/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                            адрес.</w:t>
      </w:r>
    </w:p>
    <w:p w:rsidR="00A77B3E"/>
    <w:p w:rsidR="00A77B3E">
      <w:r>
        <w:t>Мировой судья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