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2-91-1626/2025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          с участием представителя истца фио – фио,  </w:t>
      </w:r>
    </w:p>
    <w:p w:rsidR="00A77B3E">
      <w:r>
        <w:t xml:space="preserve">рассмотрев в открытом судебном заседании гражданское дело по исковому заявлению фио к фио о взыскании компенсации половины фактически произведенных выплат по кредитному договору, </w:t>
      </w:r>
    </w:p>
    <w:p w:rsidR="00A77B3E">
      <w:r>
        <w:t xml:space="preserve">          Руководствуясь ст.ст. 194-199, 233, 235  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фио к фио о взыскании компенсации половины фактически произведенных выплат по кредитному договору - удовлетворить полностью.</w:t>
      </w:r>
    </w:p>
    <w:p w:rsidR="00A77B3E">
      <w:r>
        <w:t xml:space="preserve">            Взыскать с фио, паспортные данные), в пользу фио, паспортные данные) в счет компенсации произведенных выплат по кредитному договору  денежные средства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/подпись/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