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980BCD">
        <w:rPr>
          <w:sz w:val="28"/>
          <w:szCs w:val="28"/>
        </w:rPr>
        <w:t>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410</w:t>
      </w:r>
      <w:r w:rsidR="00392866">
        <w:rPr>
          <w:sz w:val="28"/>
          <w:szCs w:val="28"/>
        </w:rPr>
        <w:t>-</w:t>
      </w:r>
      <w:r w:rsidR="00F6183D">
        <w:rPr>
          <w:sz w:val="28"/>
          <w:szCs w:val="28"/>
        </w:rPr>
        <w:t>02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F618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624EF7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F6183D">
        <w:rPr>
          <w:sz w:val="28"/>
          <w:szCs w:val="28"/>
        </w:rPr>
        <w:t>Абганееву</w:t>
      </w:r>
      <w:r w:rsidR="00F6183D">
        <w:rPr>
          <w:sz w:val="28"/>
          <w:szCs w:val="28"/>
        </w:rPr>
        <w:t xml:space="preserve"> Раджу Рустамовичу</w:t>
      </w:r>
      <w:r w:rsidR="00624EF7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F6183D" w:rsidR="00F6183D">
        <w:rPr>
          <w:sz w:val="28"/>
          <w:szCs w:val="28"/>
        </w:rPr>
        <w:t>Абганеев</w:t>
      </w:r>
      <w:r w:rsidR="00F6183D">
        <w:rPr>
          <w:sz w:val="28"/>
          <w:szCs w:val="28"/>
        </w:rPr>
        <w:t>а</w:t>
      </w:r>
      <w:r w:rsidRPr="00F6183D" w:rsidR="00F6183D">
        <w:rPr>
          <w:sz w:val="28"/>
          <w:szCs w:val="28"/>
        </w:rPr>
        <w:t xml:space="preserve"> Раджу Рустамович</w:t>
      </w:r>
      <w:r w:rsidR="00F6183D">
        <w:rPr>
          <w:sz w:val="28"/>
          <w:szCs w:val="28"/>
        </w:rPr>
        <w:t>а</w:t>
      </w:r>
      <w:r w:rsidR="00624EF7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46992">
        <w:rPr>
          <w:color w:val="000000"/>
          <w:sz w:val="28"/>
          <w:szCs w:val="28"/>
        </w:rPr>
        <w:t>1</w:t>
      </w:r>
      <w:r w:rsidR="00980BCD">
        <w:rPr>
          <w:color w:val="000000"/>
          <w:sz w:val="28"/>
          <w:szCs w:val="28"/>
        </w:rPr>
        <w:t>1122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F6183D">
        <w:rPr>
          <w:color w:val="000000"/>
          <w:sz w:val="28"/>
          <w:szCs w:val="28"/>
        </w:rPr>
        <w:t xml:space="preserve">35000                                                                                                                                                                                        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80BCD">
        <w:rPr>
          <w:color w:val="000000"/>
          <w:sz w:val="28"/>
          <w:szCs w:val="28"/>
        </w:rPr>
        <w:t>3</w:t>
      </w:r>
      <w:r w:rsidR="00F6183D">
        <w:rPr>
          <w:color w:val="000000"/>
          <w:sz w:val="28"/>
          <w:szCs w:val="28"/>
        </w:rPr>
        <w:t>24</w:t>
      </w:r>
      <w:r w:rsidR="00F526E7">
        <w:rPr>
          <w:color w:val="000000"/>
          <w:sz w:val="28"/>
          <w:szCs w:val="28"/>
        </w:rPr>
        <w:t>,</w:t>
      </w:r>
      <w:r w:rsidR="00F6183D">
        <w:rPr>
          <w:color w:val="000000"/>
          <w:sz w:val="28"/>
          <w:szCs w:val="28"/>
        </w:rPr>
        <w:t>2</w:t>
      </w:r>
      <w:r w:rsidR="00980BCD">
        <w:rPr>
          <w:color w:val="000000"/>
          <w:sz w:val="28"/>
          <w:szCs w:val="28"/>
        </w:rPr>
        <w:t>9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F6183D">
        <w:rPr>
          <w:color w:val="000000"/>
          <w:sz w:val="28"/>
          <w:szCs w:val="28"/>
        </w:rPr>
        <w:t>1413</w:t>
      </w:r>
      <w:r w:rsidR="006626BB">
        <w:rPr>
          <w:color w:val="000000"/>
          <w:sz w:val="28"/>
          <w:szCs w:val="28"/>
        </w:rPr>
        <w:t>,</w:t>
      </w:r>
      <w:r w:rsidR="00F6183D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F6183D">
        <w:rPr>
          <w:color w:val="000000"/>
          <w:sz w:val="28"/>
          <w:szCs w:val="28"/>
        </w:rPr>
        <w:t>54359</w:t>
      </w:r>
      <w:r w:rsidRPr="0063337A">
        <w:rPr>
          <w:color w:val="000000"/>
          <w:sz w:val="28"/>
          <w:szCs w:val="28"/>
        </w:rPr>
        <w:t>(</w:t>
      </w:r>
      <w:r w:rsidR="00F6183D">
        <w:rPr>
          <w:color w:val="000000"/>
          <w:sz w:val="28"/>
          <w:szCs w:val="28"/>
        </w:rPr>
        <w:t>пятьдесят четыре тысячи триста пятьдесят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F6183D">
        <w:rPr>
          <w:color w:val="000000"/>
          <w:sz w:val="28"/>
          <w:szCs w:val="28"/>
        </w:rPr>
        <w:t>37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EF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C0A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24EF7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