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C12F5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1940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BB185C" w:rsidRPr="00C12F5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3210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89</w:t>
      </w:r>
    </w:p>
    <w:p w:rsidR="00BB185C" w:rsidRPr="00C12F5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="00F45AAB"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F45AAB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ноября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B54EA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C12F5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Овчаркину Николаю Викторовича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ст. ст. 196-199 Гражданского процессуального кодекса Российской Федерации, мировой судья</w:t>
      </w:r>
    </w:p>
    <w:p w:rsidR="00BB185C" w:rsidRPr="00C12F5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C12F5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Овчаркина Николая Викторовича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доме за период с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июль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307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в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983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расходы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400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00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а всего в размере 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291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двадцать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двести девяносто один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копе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Овчаркина Николая Викторовича </w:t>
      </w:r>
      <w:r w:rsidRPr="00C12F5D" w:rsidR="00F45AA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 w:rsidR="00F45AAB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12F5D" w:rsidR="006C19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F45AAB">
        <w:rPr>
          <w:rFonts w:ascii="Times New Roman" w:hAnsi="Times New Roman"/>
          <w:sz w:val="28"/>
          <w:szCs w:val="28"/>
          <w:lang w:eastAsia="ru-RU"/>
        </w:rPr>
        <w:t>16 307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45AAB">
        <w:rPr>
          <w:rFonts w:ascii="Times New Roman" w:hAnsi="Times New Roman"/>
          <w:color w:val="000000"/>
          <w:sz w:val="28"/>
          <w:szCs w:val="28"/>
          <w:lang w:eastAsia="ru-RU"/>
        </w:rPr>
        <w:t>06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в соответствии с частью 14.1 статьи 155 Жилищного кодекса Российской Федерации, за период с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F45AA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5AAB">
        <w:rPr>
          <w:rFonts w:ascii="Times New Roman" w:hAnsi="Times New Roman"/>
          <w:sz w:val="28"/>
          <w:szCs w:val="28"/>
          <w:lang w:eastAsia="ru-RU"/>
        </w:rPr>
        <w:t>но</w:t>
      </w:r>
      <w:r w:rsidR="00B54EA3">
        <w:rPr>
          <w:rFonts w:ascii="Times New Roman" w:hAnsi="Times New Roman"/>
          <w:sz w:val="28"/>
          <w:szCs w:val="28"/>
          <w:lang w:eastAsia="ru-RU"/>
        </w:rPr>
        <w:t>ября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участвующие в деле, их представители вправе подать заявление о составлении мотивированного решения суда в течение трех дней со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C12F5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6C19B5">
        <w:rPr>
          <w:rFonts w:ascii="Times New Roman" w:hAnsi="Times New Roman"/>
          <w:color w:val="000000" w:themeColor="text1"/>
          <w:sz w:val="21"/>
          <w:szCs w:val="21"/>
        </w:rPr>
        <w:t>2</w:t>
      </w:r>
      <w:r w:rsidR="00F45AAB">
        <w:rPr>
          <w:rFonts w:ascii="Times New Roman" w:hAnsi="Times New Roman"/>
          <w:color w:val="000000" w:themeColor="text1"/>
          <w:sz w:val="21"/>
          <w:szCs w:val="21"/>
        </w:rPr>
        <w:t>1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F45AAB">
        <w:rPr>
          <w:rFonts w:ascii="Times New Roman" w:hAnsi="Times New Roman"/>
          <w:color w:val="000000" w:themeColor="text1"/>
          <w:sz w:val="21"/>
          <w:szCs w:val="21"/>
        </w:rPr>
        <w:t>но</w:t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ября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195C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BB185C" w:rsidRPr="00C12F5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BB185C" w:rsidRPr="00C12F5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="00B54EA3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F45AAB">
        <w:rPr>
          <w:rFonts w:ascii="Times New Roman" w:hAnsi="Times New Roman"/>
          <w:color w:val="000000" w:themeColor="text1"/>
          <w:sz w:val="21"/>
          <w:szCs w:val="21"/>
        </w:rPr>
        <w:t>940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195C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B54EA3" w:rsidRPr="00C12F5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BB185C" w:rsidRPr="00C12F5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BB185C" w:rsidRPr="00C12F5D" w:rsidP="00BB185C">
      <w:pPr>
        <w:rPr>
          <w:sz w:val="21"/>
          <w:szCs w:val="21"/>
        </w:rPr>
      </w:pPr>
    </w:p>
    <w:p w:rsidR="00BB185C" w:rsidRPr="00C12F5D" w:rsidP="00BB185C">
      <w:pPr>
        <w:rPr>
          <w:sz w:val="21"/>
          <w:szCs w:val="21"/>
        </w:rPr>
      </w:pPr>
    </w:p>
    <w:p w:rsidR="00BB185C" w:rsidRPr="00C12F5D" w:rsidP="00BB185C">
      <w:pPr>
        <w:rPr>
          <w:sz w:val="21"/>
          <w:szCs w:val="21"/>
        </w:rPr>
      </w:pPr>
    </w:p>
    <w:p w:rsidR="00BB185C" w:rsidP="00BB185C"/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C5D"/>
    <w:rsid w:val="00470ABC"/>
    <w:rsid w:val="006C19B5"/>
    <w:rsid w:val="00842AD2"/>
    <w:rsid w:val="00B54EA3"/>
    <w:rsid w:val="00BB185C"/>
    <w:rsid w:val="00C12F5D"/>
    <w:rsid w:val="00CA045D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