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1-54-7/2019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марта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Воробьевой О.В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Безушко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подсудимого: Школьного В.П.,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потерпевшей: </w:t>
      </w:r>
      <w:r>
        <w:rPr>
          <w:rFonts w:ascii="Times New Roman" w:eastAsia="Times New Roman" w:hAnsi="Times New Roman" w:cs="Times New Roman"/>
          <w:sz w:val="28"/>
          <w:szCs w:val="28"/>
        </w:rPr>
        <w:t>Смоголюковой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Школьного Виктора Платоновича, </w:t>
      </w:r>
      <w:r>
        <w:rPr>
          <w:rStyle w:val="cat-ExternalSystem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б/н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проживающего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 высшим образованием, состоящего в фактически брачных отношениях, не имеющего на иждивении несовершеннолетних детей, работающего грузчиком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внутрискладского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перемещения грузов 2-го разряда ООО «Красногвардейский элеватор»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силу ст.86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судимого, 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преступлений, предусмотренных п. «в» ч. 2 ст. 115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Школьный В.П</w:t>
      </w:r>
      <w:r>
        <w:rPr>
          <w:rFonts w:ascii="Times New Roman" w:eastAsia="Times New Roman" w:hAnsi="Times New Roman" w:cs="Times New Roman"/>
          <w:sz w:val="28"/>
          <w:szCs w:val="28"/>
        </w:rPr>
        <w:t>. совершил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оружия, при следующих обстоятельствах.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14 января 2019 года, примерно в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минут, </w:t>
      </w:r>
      <w:r>
        <w:rPr>
          <w:rFonts w:ascii="Times New Roman" w:eastAsia="Times New Roman" w:hAnsi="Times New Roman" w:cs="Times New Roman"/>
          <w:sz w:val="28"/>
          <w:szCs w:val="28"/>
        </w:rPr>
        <w:t>Школьный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индивидуальном жилом доме, расположенном по адресу: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ссоры со своей сожительницей </w:t>
      </w:r>
      <w:r>
        <w:rPr>
          <w:rFonts w:ascii="Times New Roman" w:eastAsia="Times New Roman" w:hAnsi="Times New Roman" w:cs="Times New Roman"/>
          <w:sz w:val="28"/>
          <w:szCs w:val="28"/>
        </w:rPr>
        <w:t>Смоглюковой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Т.В., возникшей на почве личных неприязненных отношений, имея умысел, направленный на причинение вреда здоровью последней, осознавая общественную опасность своих действий, предвидя возможность наступления общественно опасных последствий, и желая их наступления, применив кипяток, как предмет используемый в качестве оружия, находящийся в металлической кастрюле, умышленно вылил его на </w:t>
      </w:r>
      <w:r>
        <w:rPr>
          <w:rFonts w:ascii="Times New Roman" w:eastAsia="Times New Roman" w:hAnsi="Times New Roman" w:cs="Times New Roman"/>
          <w:sz w:val="28"/>
          <w:szCs w:val="28"/>
        </w:rPr>
        <w:t>Смоглюкову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Т.В., вследствие чего причинил последней согласно заключения судебно-медицинского эксперта от 30.01.2019 № 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телесные повреждения в виде термического ожога 1-2 степени 3% грудной клетки, обеих бедер, обеих </w:t>
      </w:r>
      <w:r>
        <w:rPr>
          <w:rFonts w:ascii="Times New Roman" w:eastAsia="Times New Roman" w:hAnsi="Times New Roman" w:cs="Times New Roman"/>
          <w:sz w:val="28"/>
          <w:szCs w:val="28"/>
        </w:rPr>
        <w:t>бедер, обеих голеней, которые причинили легкий вред здоровью, как повлекшие за собой кратковременное расстройство здоровья (пункт 8.1 Приказа Министерства здравоохранения и социального развития РФ №194н от 24.04.2008)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Школьный В.П</w:t>
      </w:r>
      <w:r>
        <w:rPr>
          <w:rFonts w:ascii="Times New Roman" w:eastAsia="Times New Roman" w:hAnsi="Times New Roman" w:cs="Times New Roman"/>
          <w:sz w:val="28"/>
          <w:szCs w:val="28"/>
        </w:rPr>
        <w:t>. совершил преступление, предусмотренное п. «в» ч.2 ст.115 УК РФ, то есть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Школьный В.П</w:t>
      </w:r>
      <w:r>
        <w:rPr>
          <w:rFonts w:ascii="Times New Roman" w:eastAsia="Times New Roman" w:hAnsi="Times New Roman" w:cs="Times New Roman"/>
          <w:sz w:val="28"/>
          <w:szCs w:val="28"/>
        </w:rPr>
        <w:t>. свою вину в совершенном преступлении признал полностью, в содеянном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Смоглюкова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о прекращении уголовного дела, претензий морального и материального характера к подсудимому не име</w:t>
      </w:r>
      <w:r>
        <w:rPr>
          <w:rFonts w:ascii="Times New Roman" w:eastAsia="Times New Roman" w:hAnsi="Times New Roman" w:cs="Times New Roman"/>
          <w:sz w:val="28"/>
          <w:szCs w:val="28"/>
        </w:rPr>
        <w:t>ет, проси</w:t>
      </w:r>
      <w:r>
        <w:rPr>
          <w:rFonts w:ascii="Times New Roman" w:eastAsia="Times New Roman" w:hAnsi="Times New Roman" w:cs="Times New Roman"/>
          <w:sz w:val="28"/>
          <w:szCs w:val="28"/>
        </w:rPr>
        <w:t>т прекратить уголовное дело.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Школьный В.П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 его 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>Безушко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</w:t>
      </w:r>
      <w:r>
        <w:rPr>
          <w:rFonts w:ascii="Times New Roman" w:eastAsia="Times New Roman" w:hAnsi="Times New Roman" w:cs="Times New Roman"/>
          <w:sz w:val="28"/>
          <w:szCs w:val="28"/>
        </w:rPr>
        <w:t>. просили прекратить уголовное дело в связи с примирением сторон.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– помощник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Воробьева О.В</w:t>
      </w:r>
      <w:r>
        <w:rPr>
          <w:rFonts w:ascii="Times New Roman" w:eastAsia="Times New Roman" w:hAnsi="Times New Roman" w:cs="Times New Roman"/>
          <w:sz w:val="28"/>
          <w:szCs w:val="28"/>
        </w:rPr>
        <w:t>. не возражал против прекращения уголовного дела, поскольку преступление совершено в первые, преступление относится к категории небольшой тяжести, вред возмещен путем принесения извинений.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Школьным В.П</w:t>
      </w:r>
      <w:r>
        <w:rPr>
          <w:rFonts w:ascii="Times New Roman" w:eastAsia="Times New Roman" w:hAnsi="Times New Roman" w:cs="Times New Roman"/>
          <w:sz w:val="28"/>
          <w:szCs w:val="28"/>
        </w:rPr>
        <w:t>., предусмотренное п. «в» ч. 2 ст. 115 УК РФ, относится к категории преступлений небольшой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удостоверился в обоснованности обвинения собранными по делу доказательствами.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судебном заседании,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Школьный В.П</w:t>
      </w:r>
      <w:r>
        <w:rPr>
          <w:rFonts w:ascii="Times New Roman" w:eastAsia="Times New Roman" w:hAnsi="Times New Roman" w:cs="Times New Roman"/>
          <w:sz w:val="28"/>
          <w:szCs w:val="28"/>
        </w:rPr>
        <w:t>. чистосердечно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ранее не судим,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претензий к нему ни материального, ни морального характера не име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Подсудимому в присутствии защитника разъяснено, что прекращение уголовного дела за примирением не является реабилитирующим основанием.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 к подсудимому никаких претензий, а потому суд считает возможным освободить подсудимого от уголовной ответственности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76 УК РФ, руководствуясь ст. 25 УПК РФ, суд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Освободить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Школьного Виктора Платоновича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3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уголовной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«в» ч. 2 ст. 115 УК РФ в связи с примирением подсудимого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уголовному делу в </w:t>
      </w:r>
      <w:r>
        <w:rPr>
          <w:rFonts w:ascii="Times New Roman" w:eastAsia="Times New Roman" w:hAnsi="Times New Roman" w:cs="Times New Roman"/>
          <w:sz w:val="28"/>
          <w:szCs w:val="28"/>
        </w:rPr>
        <w:t>Школьного Виктора Платоновича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</w:t>
      </w:r>
      <w:r>
        <w:rPr>
          <w:rFonts w:ascii="Times New Roman" w:eastAsia="Times New Roman" w:hAnsi="Times New Roman" w:cs="Times New Roman"/>
          <w:sz w:val="28"/>
          <w:szCs w:val="28"/>
        </w:rPr>
        <w:t>Школьному Виктору Платоновичу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обязательства о явке, отменить.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делу: </w:t>
      </w:r>
      <w:r>
        <w:rPr>
          <w:rFonts w:ascii="Times New Roman" w:eastAsia="Times New Roman" w:hAnsi="Times New Roman" w:cs="Times New Roman"/>
          <w:sz w:val="28"/>
          <w:szCs w:val="28"/>
        </w:rPr>
        <w:t>металлическая кастрюля белого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находящаяся в полупрозрачном полимерном пакете белого цвета, которая передана на хранение в комнату хранения вещественных доказательств по уголовным и административным делам ОМВД России по Красногвардейскому району (квитанция №28) </w:t>
      </w:r>
      <w:r>
        <w:rPr>
          <w:rFonts w:ascii="Times New Roman" w:eastAsia="Times New Roman" w:hAnsi="Times New Roman" w:cs="Times New Roman"/>
          <w:sz w:val="28"/>
          <w:szCs w:val="28"/>
        </w:rPr>
        <w:t>– уничтожить.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Безушко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оказание юридической помощи при его участии на стадии судебного разбирательства, подлежат возмещению за счет средств федерального бюджета.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11">
    <w:name w:val="cat-ExternalSystemDefined grp-26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ExternalSystemDefinedgrp-26rplc-35">
    <w:name w:val="cat-ExternalSystemDefined grp-26 rplc-35"/>
    <w:basedOn w:val="DefaultParagraphFont"/>
  </w:style>
  <w:style w:type="character" w:customStyle="1" w:styleId="cat-PassportDatagrp-23rplc-36">
    <w:name w:val="cat-PassportData grp-23 rplc-36"/>
    <w:basedOn w:val="DefaultParagraphFont"/>
  </w:style>
  <w:style w:type="character" w:customStyle="1" w:styleId="cat-ExternalSystemDefinedgrp-26rplc-38">
    <w:name w:val="cat-ExternalSystemDefined grp-26 rplc-38"/>
    <w:basedOn w:val="DefaultParagraphFont"/>
  </w:style>
  <w:style w:type="character" w:customStyle="1" w:styleId="cat-PassportDatagrp-23rplc-39">
    <w:name w:val="cat-PassportData grp-23 rplc-39"/>
    <w:basedOn w:val="DefaultParagraphFont"/>
  </w:style>
  <w:style w:type="character" w:customStyle="1" w:styleId="cat-ExternalSystemDefinedgrp-26rplc-41">
    <w:name w:val="cat-ExternalSystemDefined grp-26 rplc-41"/>
    <w:basedOn w:val="DefaultParagraphFont"/>
  </w:style>
  <w:style w:type="character" w:customStyle="1" w:styleId="cat-PassportDatagrp-23rplc-42">
    <w:name w:val="cat-PassportData grp-23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