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023D" w:rsidRPr="007F0241" w:rsidP="00B6023D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>Дело № 1-54-10/2022</w:t>
      </w:r>
    </w:p>
    <w:p w:rsidR="00B6023D" w:rsidRPr="007F0241" w:rsidP="00B6023D">
      <w:pPr>
        <w:pStyle w:val="NoSpacing"/>
        <w:jc w:val="right"/>
        <w:rPr>
          <w:rFonts w:ascii="Times New Roman" w:hAnsi="Times New Roman"/>
          <w:bCs/>
          <w:sz w:val="28"/>
          <w:szCs w:val="28"/>
        </w:rPr>
      </w:pPr>
      <w:r w:rsidRPr="007F0241">
        <w:rPr>
          <w:rFonts w:ascii="Times New Roman" w:hAnsi="Times New Roman"/>
          <w:bCs/>
          <w:sz w:val="28"/>
          <w:szCs w:val="28"/>
        </w:rPr>
        <w:t>91MS0054-01-2022-000739-93</w:t>
      </w:r>
    </w:p>
    <w:p w:rsidR="00B6023D" w:rsidRPr="007F0241" w:rsidP="00B6023D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6023D" w:rsidP="00B6023D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024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F0241" w:rsidRPr="007F0241" w:rsidP="00B6023D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023D" w:rsidRPr="007F0241" w:rsidP="00B6023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 мая 2022 года                                             </w:t>
      </w:r>
      <w:r w:rsidRPr="007F0241" w:rsid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пгт. Красногвардейское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</w:t>
      </w: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Чернецкая И.В.,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секретаре Селещуке С.Н., 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государственного обвинителя – помощника прокурора Красногвардейского района Киршиной И.В.,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защитника: адвоката Джаббаровой С.И.,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подсудимой: Пикаловой С.В.,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потерпевшего: Пикалова Ю.В.,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в зале суда уголовное дело по обвинению: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Пикаловой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С.В</w:t>
      </w: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ЛИЧНЫЕ ДАННЫЕ</w:t>
      </w: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обвиняемой в совершении преступления, предусмотренном п. «в» ч. 2 ст. 115 УК РФ,</w:t>
      </w:r>
    </w:p>
    <w:p w:rsidR="00B6023D" w:rsidRPr="007F0241" w:rsidP="00B6023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02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С Т А Н О В И Л: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>Пикалова С.В., органами дознания обвиняется в совершении умышленного причинения легкого вреда здоровью, вызвав</w:t>
      </w:r>
      <w:r w:rsidRPr="007F0241">
        <w:rPr>
          <w:rFonts w:ascii="Times New Roman" w:hAnsi="Times New Roman"/>
          <w:sz w:val="28"/>
          <w:szCs w:val="28"/>
          <w:lang w:eastAsia="ru-RU"/>
        </w:rPr>
        <w:t>шего кратковременное расстройство здоровья, с применением предмета, используемого в качестве оружия, при следующих обстоятельствах: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>08 марта 2022 года, примерно в 15 часов 00 минут, Пикалова С.В., 13.08.1969 г.р., пребывая в состоянии алкогольного опьянени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я, находясь на кухне квартиры № 8 дома № 35, расположенного по ул. 50 лет Октября пгт. Красногвардейское Красногвардейского района Республики Крым, в ходе ссоры с бывшим супругом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F0241">
        <w:rPr>
          <w:rFonts w:ascii="Times New Roman" w:hAnsi="Times New Roman"/>
          <w:sz w:val="28"/>
          <w:szCs w:val="28"/>
          <w:lang w:eastAsia="ru-RU"/>
        </w:rPr>
        <w:t>, возникшей на почве личных неприязненных отношен</w:t>
      </w:r>
      <w:r w:rsidRPr="007F0241">
        <w:rPr>
          <w:rFonts w:ascii="Times New Roman" w:hAnsi="Times New Roman"/>
          <w:sz w:val="28"/>
          <w:szCs w:val="28"/>
          <w:lang w:eastAsia="ru-RU"/>
        </w:rPr>
        <w:t>ий, имея умысел на причинение вреда здоровью последнего, осознавая общественную опасность своих действий, предвидя возможность наступления общественно-опасных последствий и желая их наступления, используя нож в качестве оружия, умышленно нанесла лезвием но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жа не менее 4-5 ударов в область спины </w:t>
      </w:r>
      <w:r>
        <w:rPr>
          <w:rFonts w:ascii="Times New Roman" w:hAnsi="Times New Roman"/>
          <w:sz w:val="28"/>
          <w:szCs w:val="28"/>
          <w:lang w:eastAsia="ru-RU"/>
        </w:rPr>
        <w:t>ФИО2</w:t>
      </w:r>
      <w:r w:rsidRPr="007F0241">
        <w:rPr>
          <w:rFonts w:ascii="Times New Roman" w:hAnsi="Times New Roman"/>
          <w:sz w:val="28"/>
          <w:szCs w:val="28"/>
          <w:lang w:eastAsia="ru-RU"/>
        </w:rPr>
        <w:t>, причинив последнему согласно заключению судебно-медицинского эксперта № 85 от 10.03.2022 года, телесные повреждения в виде резаных ран на задней поверхности грудной клетки слева, подтвержден</w:t>
      </w:r>
      <w:r w:rsidRPr="007F0241">
        <w:rPr>
          <w:rFonts w:ascii="Times New Roman" w:hAnsi="Times New Roman"/>
          <w:sz w:val="28"/>
          <w:szCs w:val="28"/>
          <w:lang w:eastAsia="ru-RU"/>
        </w:rPr>
        <w:t>ные оперативным лечением, повлекшие кратковременное расстройство здоровья, до 21 дня включительно, являются повреждениями, причинившими легкий вред здоровью человека. (Пункт 8.1 Приказа Министерства здравоохранения и социального развития российской Федерац</w:t>
      </w:r>
      <w:r w:rsidRPr="007F0241">
        <w:rPr>
          <w:rFonts w:ascii="Times New Roman" w:hAnsi="Times New Roman"/>
          <w:sz w:val="28"/>
          <w:szCs w:val="28"/>
          <w:lang w:eastAsia="ru-RU"/>
        </w:rPr>
        <w:t>ии от 24.04.2008 г. № 194н «Об утверждении медицинских критериев определения степени тяжести вреда, причиненного здоровью человека»). Телесные повреждения в виде поверхностных ран, не повлекшие за собой кратковременное расстройство здоровья или незначитель</w:t>
      </w:r>
      <w:r w:rsidRPr="007F0241">
        <w:rPr>
          <w:rFonts w:ascii="Times New Roman" w:hAnsi="Times New Roman"/>
          <w:sz w:val="28"/>
          <w:szCs w:val="28"/>
          <w:lang w:eastAsia="ru-RU"/>
        </w:rPr>
        <w:t>ную утрату  общей трудоспособности, являются повреждениями, не причинившими вреда здоровью человека. (Пункт 9 Приказа Министерства здравоохранения и социального развития российской Федерации от 24.04.2008 г. № 194н «Об утверждении медицинских критериев опр</w:t>
      </w:r>
      <w:r w:rsidRPr="007F0241">
        <w:rPr>
          <w:rFonts w:ascii="Times New Roman" w:hAnsi="Times New Roman"/>
          <w:sz w:val="28"/>
          <w:szCs w:val="28"/>
          <w:lang w:eastAsia="ru-RU"/>
        </w:rPr>
        <w:t>еделения степени тяжести вреда, причиненного здоровью человека»).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02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Защитник подсудимой адвокат </w:t>
      </w:r>
      <w:r>
        <w:rPr>
          <w:rFonts w:ascii="Times New Roman" w:hAnsi="Times New Roman"/>
          <w:sz w:val="28"/>
          <w:szCs w:val="28"/>
          <w:lang w:eastAsia="ru-RU"/>
        </w:rPr>
        <w:t>ФИО3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. просила приобщить ходатайство потерпевшего о прекращении уголовного дела в связи с примирением с  подсудимой. 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потерпевший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F0241">
        <w:rPr>
          <w:rFonts w:ascii="Times New Roman" w:hAnsi="Times New Roman"/>
          <w:sz w:val="28"/>
          <w:szCs w:val="28"/>
          <w:lang w:eastAsia="ru-RU"/>
        </w:rPr>
        <w:t>. ходатайство о прекращении уголовного дела по примирению с подсудимой поддержал и пояснил, что претензий морального и материального характера к подсудимой не имеет, просил прекратить уголовное дело в связи с при</w:t>
      </w:r>
      <w:r w:rsidRPr="007F0241">
        <w:rPr>
          <w:rFonts w:ascii="Times New Roman" w:hAnsi="Times New Roman"/>
          <w:sz w:val="28"/>
          <w:szCs w:val="28"/>
          <w:lang w:eastAsia="ru-RU"/>
        </w:rPr>
        <w:t>мирением сторон.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  В судебном заседании подсудимая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F0241">
        <w:rPr>
          <w:rFonts w:ascii="Times New Roman" w:hAnsi="Times New Roman"/>
          <w:sz w:val="28"/>
          <w:szCs w:val="28"/>
          <w:lang w:eastAsia="ru-RU"/>
        </w:rPr>
        <w:t>., свою вину в совершенном преступлении признала полностью, в содеянном раскаялась,  просила уголовное дело в отношении нее прекратить в связи с примирением с потерпевшим, при этом пояснила, чт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о ей разъяснены защитником последствия прекращения уголовного дела по этим основаниям. 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  Государственный обвинитель – помощник прокурора в судебном заседании против удовлетворения заявленного ходатайства не возражала, пояснив, что имеются все основания дл</w:t>
      </w:r>
      <w:r w:rsidRPr="007F0241">
        <w:rPr>
          <w:rFonts w:ascii="Times New Roman" w:hAnsi="Times New Roman"/>
          <w:sz w:val="28"/>
          <w:szCs w:val="28"/>
          <w:lang w:eastAsia="ru-RU"/>
        </w:rPr>
        <w:t>я прекращения уголовного дела по примирению.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  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</w:t>
      </w:r>
      <w:r w:rsidRPr="007F0241">
        <w:rPr>
          <w:rFonts w:ascii="Times New Roman" w:hAnsi="Times New Roman"/>
          <w:sz w:val="28"/>
          <w:szCs w:val="28"/>
          <w:lang w:eastAsia="ru-RU"/>
        </w:rPr>
        <w:t>ный потерпевшему вред.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  Преступление, совершенное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F0241">
        <w:rPr>
          <w:rFonts w:ascii="Times New Roman" w:hAnsi="Times New Roman"/>
          <w:sz w:val="28"/>
          <w:szCs w:val="28"/>
          <w:lang w:eastAsia="ru-RU"/>
        </w:rPr>
        <w:t>., предусмотренное п. «в» ч. 2 ст. 115 УК РФ, относится к категории преступлений небольшой тяжести.</w:t>
      </w:r>
    </w:p>
    <w:p w:rsidR="00B6023D" w:rsidRPr="007F0241" w:rsidP="00B6023D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  Как установлено в судебном заседании, подсудимая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F0241">
        <w:rPr>
          <w:rFonts w:ascii="Times New Roman" w:hAnsi="Times New Roman"/>
          <w:sz w:val="28"/>
          <w:szCs w:val="28"/>
          <w:lang w:eastAsia="ru-RU"/>
        </w:rPr>
        <w:t>., чистосердечно раскаялась в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 содеянном, ранее не судима, потерпевший претензий к ней не имеет ни материального, ни морального характера, ущерб подсудимая возместила, а потому суд считает возможным освободить подсудимого от уголовной ответственности на основании ст. 76 УК РФ.      </w:t>
      </w:r>
    </w:p>
    <w:p w:rsidR="00B6023D" w:rsidRPr="007F0241" w:rsidP="00B602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>На</w:t>
      </w:r>
      <w:r w:rsidRPr="007F0241">
        <w:rPr>
          <w:rFonts w:ascii="Times New Roman" w:hAnsi="Times New Roman"/>
          <w:sz w:val="28"/>
          <w:szCs w:val="28"/>
        </w:rPr>
        <w:t xml:space="preserve"> основании ст. 76 УК РФ, руководствуясь ст. 25 УПК РФ, суд –</w:t>
      </w:r>
    </w:p>
    <w:p w:rsidR="00B6023D" w:rsidRPr="007F0241" w:rsidP="00B6023D">
      <w:pPr>
        <w:pStyle w:val="NoSpacing"/>
        <w:ind w:firstLine="708"/>
        <w:jc w:val="center"/>
        <w:rPr>
          <w:rFonts w:ascii="Times New Roman" w:hAnsi="Times New Roman"/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>П О С Т А Н О В И Л:</w:t>
      </w:r>
    </w:p>
    <w:p w:rsidR="00B6023D" w:rsidRPr="007F0241" w:rsidP="00B602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 xml:space="preserve">Освободить </w:t>
      </w:r>
      <w:r w:rsidRPr="007F0241" w:rsidR="007F0241">
        <w:rPr>
          <w:rFonts w:ascii="Times New Roman" w:hAnsi="Times New Roman"/>
          <w:sz w:val="28"/>
          <w:szCs w:val="28"/>
        </w:rPr>
        <w:t xml:space="preserve">Пикалову </w:t>
      </w:r>
      <w:r>
        <w:rPr>
          <w:rFonts w:ascii="Times New Roman" w:hAnsi="Times New Roman"/>
          <w:sz w:val="28"/>
          <w:szCs w:val="28"/>
        </w:rPr>
        <w:t>С.В</w:t>
      </w:r>
      <w:r w:rsidRPr="007F0241" w:rsidR="007F02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ЛИЧНЫЕ ДАННЫЕ</w:t>
      </w:r>
      <w:r w:rsidRPr="007F0241">
        <w:rPr>
          <w:rFonts w:ascii="Times New Roman" w:hAnsi="Times New Roman"/>
          <w:sz w:val="28"/>
          <w:szCs w:val="28"/>
        </w:rPr>
        <w:t>, от уголовной ответственности по п. «в» ч. 2 ст. 115 УК РФ в связи с примирением подсудимой с потерпевшим,</w:t>
      </w:r>
      <w:r w:rsidRPr="007F0241">
        <w:rPr>
          <w:rFonts w:ascii="Times New Roman" w:hAnsi="Times New Roman"/>
          <w:sz w:val="28"/>
          <w:szCs w:val="28"/>
        </w:rPr>
        <w:t xml:space="preserve"> на основании ст. 76 УК РФ.</w:t>
      </w:r>
    </w:p>
    <w:p w:rsidR="00B6023D" w:rsidRPr="007F0241" w:rsidP="00B602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 xml:space="preserve">Производство по уголовному делу в отношении </w:t>
      </w:r>
      <w:r w:rsidRPr="007F0241" w:rsidR="007F0241">
        <w:rPr>
          <w:rFonts w:ascii="Times New Roman" w:hAnsi="Times New Roman"/>
          <w:sz w:val="28"/>
          <w:szCs w:val="28"/>
        </w:rPr>
        <w:t xml:space="preserve">Пикаловой </w:t>
      </w:r>
      <w:r>
        <w:rPr>
          <w:rFonts w:ascii="Times New Roman" w:hAnsi="Times New Roman"/>
          <w:sz w:val="28"/>
          <w:szCs w:val="28"/>
        </w:rPr>
        <w:t>С.В. ЛИЧНЫЕ ДАННЫЕ</w:t>
      </w:r>
      <w:r w:rsidRPr="007F0241">
        <w:rPr>
          <w:rFonts w:ascii="Times New Roman" w:hAnsi="Times New Roman"/>
          <w:sz w:val="28"/>
          <w:szCs w:val="28"/>
        </w:rPr>
        <w:t xml:space="preserve">, о привлечении его к уголовной ответственности по п. «в» ч. 2 ст. 115 УК РФ, - прекратить. </w:t>
      </w:r>
    </w:p>
    <w:p w:rsidR="00B6023D" w:rsidRPr="007F0241" w:rsidP="00B602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 xml:space="preserve">Меру процессуального принуждения </w:t>
      </w:r>
      <w:r w:rsidRPr="007F0241" w:rsidR="007F0241">
        <w:rPr>
          <w:rFonts w:ascii="Times New Roman" w:hAnsi="Times New Roman"/>
          <w:sz w:val="28"/>
          <w:szCs w:val="28"/>
        </w:rPr>
        <w:t>Пикаловой С.В.</w:t>
      </w:r>
      <w:r w:rsidRPr="007F0241">
        <w:rPr>
          <w:rFonts w:ascii="Times New Roman" w:hAnsi="Times New Roman"/>
          <w:sz w:val="28"/>
          <w:szCs w:val="28"/>
        </w:rPr>
        <w:t xml:space="preserve">, в виде обязательства о явке, отменить. </w:t>
      </w:r>
    </w:p>
    <w:p w:rsidR="00B6023D" w:rsidRPr="007F0241" w:rsidP="007F0241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Вещественные доказательства: - </w:t>
      </w:r>
      <w:r w:rsidRPr="007F0241" w:rsidR="007F0241">
        <w:rPr>
          <w:rFonts w:ascii="Times New Roman" w:hAnsi="Times New Roman"/>
          <w:sz w:val="28"/>
          <w:szCs w:val="28"/>
          <w:lang w:eastAsia="ru-RU"/>
        </w:rPr>
        <w:t>полимерный пакет, в котором находится подушка со следами бурого цвета, находящиеся в камере хранения вещественных доказательств по уголовным и административным делам ОМВД России по Красногвардейскому району (квитанция № 39 от 10.03.2022) и  полимерный пакет черного цвета с ножом, находящийся в камере хранения вещественных доказательств по уголовным и административным делам ОМВД России по Красногвардейскому району (квитанция № 51 от 16.03.2022)</w:t>
      </w:r>
      <w:r w:rsidRPr="007F0241">
        <w:rPr>
          <w:rFonts w:ascii="Times New Roman" w:hAnsi="Times New Roman"/>
          <w:sz w:val="28"/>
          <w:szCs w:val="28"/>
          <w:lang w:eastAsia="ru-RU"/>
        </w:rPr>
        <w:t>, - уничтожить.</w:t>
      </w:r>
    </w:p>
    <w:p w:rsidR="00B6023D" w:rsidRPr="007F0241" w:rsidP="00B6023D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241">
        <w:rPr>
          <w:rFonts w:ascii="Times New Roman" w:hAnsi="Times New Roman"/>
          <w:sz w:val="28"/>
          <w:szCs w:val="28"/>
          <w:lang w:eastAsia="ru-RU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</w:t>
      </w:r>
      <w:r w:rsidRPr="007F0241">
        <w:rPr>
          <w:rFonts w:ascii="Times New Roman" w:hAnsi="Times New Roman"/>
          <w:sz w:val="28"/>
          <w:szCs w:val="28"/>
          <w:lang w:eastAsia="ru-RU"/>
        </w:rPr>
        <w:t xml:space="preserve">адвокату </w:t>
      </w:r>
      <w:r>
        <w:rPr>
          <w:rFonts w:ascii="Times New Roman" w:hAnsi="Times New Roman"/>
          <w:sz w:val="28"/>
          <w:szCs w:val="28"/>
          <w:lang w:eastAsia="ru-RU"/>
        </w:rPr>
        <w:t>ФИО3</w:t>
      </w:r>
      <w:r w:rsidRPr="007F0241">
        <w:rPr>
          <w:rFonts w:ascii="Times New Roman" w:hAnsi="Times New Roman"/>
          <w:sz w:val="28"/>
          <w:szCs w:val="28"/>
          <w:lang w:eastAsia="ru-RU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B6023D" w:rsidRPr="007F0241" w:rsidP="00B602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</w:t>
      </w:r>
      <w:r w:rsidRPr="007F0241">
        <w:rPr>
          <w:rFonts w:ascii="Times New Roman" w:hAnsi="Times New Roman"/>
          <w:sz w:val="28"/>
          <w:szCs w:val="28"/>
        </w:rPr>
        <w:t xml:space="preserve">Крым в течение 10 суток со дня провозглашения. </w:t>
      </w:r>
    </w:p>
    <w:p w:rsidR="00B6023D" w:rsidRPr="007F0241" w:rsidP="00B602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023D" w:rsidRPr="007F0241" w:rsidP="00B6023D">
      <w:pPr>
        <w:pStyle w:val="NoSpacing"/>
        <w:ind w:firstLine="708"/>
        <w:jc w:val="both"/>
        <w:rPr>
          <w:sz w:val="28"/>
          <w:szCs w:val="28"/>
        </w:rPr>
      </w:pPr>
      <w:r w:rsidRPr="007F0241">
        <w:rPr>
          <w:rFonts w:ascii="Times New Roman" w:hAnsi="Times New Roman"/>
          <w:sz w:val="28"/>
          <w:szCs w:val="28"/>
        </w:rPr>
        <w:t xml:space="preserve">     Мировой судья                                                И.В. Чернецкая</w:t>
      </w:r>
    </w:p>
    <w:p w:rsidR="00B6023D" w:rsidP="00B6023D">
      <w:pPr>
        <w:rPr>
          <w:sz w:val="27"/>
          <w:szCs w:val="27"/>
        </w:rPr>
      </w:pPr>
    </w:p>
    <w:p w:rsidR="00B6023D" w:rsidP="00B6023D">
      <w:pPr>
        <w:rPr>
          <w:sz w:val="27"/>
          <w:szCs w:val="27"/>
        </w:rPr>
      </w:pPr>
    </w:p>
    <w:p w:rsidR="00B6023D" w:rsidP="00B6023D"/>
    <w:p w:rsidR="00D55771"/>
    <w:sectPr w:rsidSect="007F024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A1"/>
    <w:rsid w:val="001873A1"/>
    <w:rsid w:val="007F0241"/>
    <w:rsid w:val="00883F43"/>
    <w:rsid w:val="00B6023D"/>
    <w:rsid w:val="00D55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3D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23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7F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02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