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1-54-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/2020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91MS0054-01-2020-00</w:t>
      </w:r>
      <w:r>
        <w:rPr>
          <w:rFonts w:ascii="Times New Roman" w:eastAsia="Times New Roman" w:hAnsi="Times New Roman" w:cs="Times New Roman"/>
          <w:sz w:val="27"/>
          <w:szCs w:val="27"/>
        </w:rPr>
        <w:t>1090-75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ind w:firstLine="540"/>
        <w:jc w:val="center"/>
        <w:rPr>
          <w:sz w:val="27"/>
          <w:szCs w:val="27"/>
        </w:rPr>
      </w:pPr>
    </w:p>
    <w:p>
      <w:pPr>
        <w:spacing w:before="0" w:after="0"/>
        <w:ind w:firstLine="54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2020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ind w:firstLine="540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секретаре Шульге Н.Е.,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Абселямовой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Л.Э.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Акилина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М.Т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подсудимого: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Мартынчук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Петрович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УССР</w:t>
      </w:r>
      <w:r>
        <w:rPr>
          <w:rFonts w:ascii="Times New Roman" w:eastAsia="Times New Roman" w:hAnsi="Times New Roman" w:cs="Times New Roman"/>
          <w:sz w:val="27"/>
          <w:szCs w:val="27"/>
        </w:rPr>
        <w:t>, гражданина Российской Федерации,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общим образованием,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 состоящего в супружеских отношениях,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имеющего на иждивении несовершеннолетних детей, официально не трудоустроенного, зарегистрированного по адресу: </w:t>
      </w:r>
      <w:r>
        <w:rPr>
          <w:rStyle w:val="cat-Addressgrp-3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прожива</w:t>
      </w:r>
      <w:r>
        <w:rPr>
          <w:rFonts w:ascii="Times New Roman" w:eastAsia="Times New Roman" w:hAnsi="Times New Roman" w:cs="Times New Roman"/>
          <w:sz w:val="27"/>
          <w:szCs w:val="27"/>
        </w:rPr>
        <w:t>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ранее не судимого, обвиняемого в совершении преступлений, предусмотренных ч. 1 ст. 158 УК РФ,</w:t>
      </w: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Мартынчук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Петрович</w:t>
      </w:r>
      <w:r>
        <w:rPr>
          <w:rFonts w:ascii="Times New Roman" w:eastAsia="Times New Roman" w:hAnsi="Times New Roman" w:cs="Times New Roman"/>
          <w:sz w:val="27"/>
          <w:szCs w:val="27"/>
        </w:rPr>
        <w:t>, органами дознания обвиняется в совершении кражи, то есть тайное хищение чужого имущества, при следующих обстоятельствах: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28.08.2020, примерно в 14 часов 00 минут,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 Александрович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находящийся в состоянии невменяемости, пребывая в состоянии алкогольного опьянения, действуя в группе по предварительному сговору и реализуя общий умысел, направленный на тайное хищение имущества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Владимира Ивановича, действуя с корыстной целью, осознавая общественную опасность своих действий, посягающих на общественные отношения, гарантирующие неприкосновенность права собственности, предвидя возможность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наступления общественно опасных последствий, влекущих неправомерное лишение владельца имущества возможности пользования его имущественными правами, и желая их наступления, через незапертую входную дверь вошли в коридор индивидуального жилого дома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Владимира Ивановича, расположенного по адресу: </w:t>
      </w:r>
      <w:r>
        <w:rPr>
          <w:rStyle w:val="cat-Addressgrp-5rplc-2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проживает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 Александрович.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Далее, реализуя вышеуказанный совместный умысел,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Петрович и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 Александрович, находящийся в состоянии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невменяемости, тайно совершили хищение латунной емкости, принадлежащей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Владимиру Ивановичу, массой 17 кг стоимостью 210 рублей за 1 кг и общей стоимостью 3 570 рублей, находящейся на полу в коридоре вышеуказанного дома.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этого,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 Петрович и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 Александрович, находящийся в состоянии невменяемости, в продолжение своих преступных действий, направленных на распоряжение похищенным имуществом, с места совершения преступления скрылись, а латунную емкость обратили в свою пользу, вследствие чего причинили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Владимиру Ивановичу имущественный вред в виде материального ущерба на сумму 3 570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Голованов В.И. не явился, предоставил заявление о рассмотрении дела без его участия в связи с плохим самочувствием. В указанном заявлении поддержал заявленное на досудебном следствии ходатайство о прекращении уголовного дела за примирением с подсудимым, претензий материального, морального характера не имеет, просил дело прекратить.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 свою вину в совершенных преступлениях признал полностью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Просил уголовное дело в отношении него прекратить в связи с примирением с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7"/>
          <w:szCs w:val="27"/>
        </w:rPr>
        <w:t>Акилина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М.Т</w:t>
      </w:r>
      <w:r>
        <w:rPr>
          <w:rFonts w:ascii="Times New Roman" w:eastAsia="Times New Roman" w:hAnsi="Times New Roman" w:cs="Times New Roman"/>
          <w:sz w:val="27"/>
          <w:szCs w:val="27"/>
        </w:rPr>
        <w:t>. просил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удовлетворить ходатайство потерпевше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т.к. для этого имеются все основания.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., предусмотренное ч. 1 ст. 158 УК РФ, относится к категории преступлений небольшой тяжести.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исключающих преступность деяний не установлено.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>
        <w:rPr>
          <w:rFonts w:ascii="Times New Roman" w:eastAsia="Times New Roman" w:hAnsi="Times New Roman" w:cs="Times New Roman"/>
          <w:sz w:val="27"/>
          <w:szCs w:val="27"/>
        </w:rPr>
        <w:t>., чистосердечно раскаялся в содеянном, ранее не судим,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претензий к нему не имеет ни материального, ни морального характера, ущерб подсудимый возместил.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 к подсудимому никаких претензий, а потому суд считает возможным освободить подсудимого от уголовной ответственности на основании ст. 76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ст. 76 УК РФ, руководствуясь ст. 25 УПК РФ, суд –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Освободить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Антона Петровича,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ExternalSystemDefinedgrp-28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4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от уголовной ответственности по ч. 1 ст. 158 УК РФ 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Антона Петровича,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ExternalSystemDefinedgrp-28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4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привлечении его к уголовной ответственности по ч. 1 ст. 158 УК РФ, - прекратить.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Меру </w:t>
      </w:r>
      <w:r>
        <w:rPr>
          <w:rFonts w:ascii="Times New Roman" w:eastAsia="Times New Roman" w:hAnsi="Times New Roman" w:cs="Times New Roman"/>
          <w:sz w:val="27"/>
          <w:szCs w:val="27"/>
        </w:rPr>
        <w:t>пресечения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7"/>
          <w:szCs w:val="27"/>
        </w:rPr>
        <w:t>, принятую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Мартынчука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Антона Петровича,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ExternalSystemDefinedgrp-28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4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отменить.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отсутствуют.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Акилина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М.Т</w:t>
      </w:r>
      <w:r>
        <w:rPr>
          <w:rFonts w:ascii="Times New Roman" w:eastAsia="Times New Roman" w:hAnsi="Times New Roman" w:cs="Times New Roman"/>
          <w:sz w:val="27"/>
          <w:szCs w:val="27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ExternalSystemDefinedgrp-28rplc-40">
    <w:name w:val="cat-ExternalSystemDefined grp-28 rplc-40"/>
    <w:basedOn w:val="DefaultParagraphFont"/>
  </w:style>
  <w:style w:type="character" w:customStyle="1" w:styleId="cat-PassportDatagrp-24rplc-41">
    <w:name w:val="cat-PassportData grp-24 rplc-41"/>
    <w:basedOn w:val="DefaultParagraphFont"/>
  </w:style>
  <w:style w:type="character" w:customStyle="1" w:styleId="cat-ExternalSystemDefinedgrp-28rplc-43">
    <w:name w:val="cat-ExternalSystemDefined grp-28 rplc-43"/>
    <w:basedOn w:val="DefaultParagraphFont"/>
  </w:style>
  <w:style w:type="character" w:customStyle="1" w:styleId="cat-PassportDatagrp-24rplc-44">
    <w:name w:val="cat-PassportData grp-24 rplc-44"/>
    <w:basedOn w:val="DefaultParagraphFont"/>
  </w:style>
  <w:style w:type="character" w:customStyle="1" w:styleId="cat-ExternalSystemDefinedgrp-28rplc-46">
    <w:name w:val="cat-ExternalSystemDefined grp-28 rplc-46"/>
    <w:basedOn w:val="DefaultParagraphFont"/>
  </w:style>
  <w:style w:type="character" w:customStyle="1" w:styleId="cat-PassportDatagrp-24rplc-47">
    <w:name w:val="cat-PassportData grp-2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