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7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Шостака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Тимакова О.С.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потерпевшего – Сахнова С.М.,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Чекан </w:t>
      </w:r>
      <w:r>
        <w:rPr>
          <w:rStyle w:val="cat-UserDefinedgrp-32rplc-11"/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своими умышленными действиями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похищение у гражданина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>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03.03.2020 примерно в 12.00 часов, более точное время не 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Чекан </w:t>
      </w:r>
      <w:r>
        <w:rPr>
          <w:rStyle w:val="cat-UserDefinedgrp-34rplc-21"/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24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имея умысел на тайное хищение у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паспорта, осознавая общественную опасность своих действий, предвидя возможность наступления общественно опасных последствий и желая их наступления, действуя из иной личной заинтересованности,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п. 22 Постановления Правительства РФ от 08.07.1997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828 (ред. от 20.11.2018) «Об утверждении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паспорте гражданина Российской Федерации, образца бланка и описания паспорта гражданина Российской Федерации», согласно которого запрещается изъятие у гражданина паспорта, кроме случаев, предусмотренных законодательством Российской Федерации, находясь в домовладении, расположенном по </w:t>
      </w:r>
      <w:r>
        <w:rPr>
          <w:rStyle w:val="cat-UserDefinedgrp-3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временно проживает Сахнов С.М., путем свободного доступа,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совершила тайное похищение паспорта гражданина Российской Федерации, выданного на имя Сахнова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С.М.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3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для своих личных целей.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преступление, предусмотренное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</w:t>
      </w:r>
      <w:r>
        <w:rPr>
          <w:rFonts w:ascii="Times New Roman" w:eastAsia="Times New Roman" w:hAnsi="Times New Roman" w:cs="Times New Roman"/>
          <w:sz w:val="28"/>
          <w:szCs w:val="28"/>
        </w:rPr>
        <w:t>похищение у гражданина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уголовного дела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свою вину в совершении преступления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адвокат не возражали против удовлетворения заявленного ходатайства.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Сахнов С.М.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против проведения судебного разбирательства в особом порядке возражений не заявил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постановить приговор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своем полном согласии с предъявленным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винением. Ходатайство заявлено ею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присутствии защитника, после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</w:t>
      </w:r>
      <w:r>
        <w:rPr>
          <w:rFonts w:ascii="Times New Roman" w:eastAsia="Times New Roman" w:hAnsi="Times New Roman" w:cs="Times New Roman"/>
          <w:sz w:val="28"/>
          <w:szCs w:val="28"/>
        </w:rPr>
        <w:t>похищение у гражданина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наказания подсудимому суд учитывает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также учитывает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>, влияние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условия жизни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характеризуются </w:t>
      </w:r>
      <w:r>
        <w:rPr>
          <w:rFonts w:ascii="Times New Roman" w:eastAsia="Times New Roman" w:hAnsi="Times New Roman" w:cs="Times New Roman"/>
          <w:sz w:val="28"/>
          <w:szCs w:val="28"/>
        </w:rPr>
        <w:t>отрицательно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>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 1, 2 ст. 61 УК РФ, суд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явку с повинной, активное способствование расследованию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чистосердечное раскаяние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с учетом данных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Чекан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санкцией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требования ст. 60 УК РФ,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которое относятся к категории преступлений небольшой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307-309, 314-317 УПК Российской Федерации,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Чекан </w:t>
      </w:r>
      <w:r>
        <w:rPr>
          <w:rStyle w:val="cat-UserDefinedgrp-39rplc-52"/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325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100 часов обязательных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Чекан </w:t>
      </w:r>
      <w:r>
        <w:rPr>
          <w:rStyle w:val="cat-UserDefinedgrp-32rplc-54"/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>
        <w:rPr>
          <w:rStyle w:val="cat-UserDefinedgrp-40rplc-55"/>
          <w:rFonts w:ascii="Times New Roman" w:eastAsia="Times New Roman" w:hAnsi="Times New Roman" w:cs="Times New Roman"/>
          <w:sz w:val="28"/>
          <w:szCs w:val="28"/>
        </w:rPr>
        <w:t>ФКУ УФСИН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процессуального принуждения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обязательстве о 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изменения.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39rplc-52">
    <w:name w:val="cat-UserDefined grp-39 rplc-52"/>
    <w:basedOn w:val="DefaultParagraphFont"/>
  </w:style>
  <w:style w:type="character" w:customStyle="1" w:styleId="cat-UserDefinedgrp-32rplc-54">
    <w:name w:val="cat-UserDefined grp-32 rplc-54"/>
    <w:basedOn w:val="DefaultParagraphFont"/>
  </w:style>
  <w:style w:type="character" w:customStyle="1" w:styleId="cat-UserDefinedgrp-40rplc-55">
    <w:name w:val="cat-UserDefined grp-40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