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7FED" w:rsidRPr="003D0B6B" w:rsidP="00D07FED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 w:rsidR="000E36EF">
        <w:rPr>
          <w:sz w:val="28"/>
          <w:szCs w:val="28"/>
        </w:rPr>
        <w:t>-10</w:t>
      </w:r>
      <w:r>
        <w:rPr>
          <w:sz w:val="28"/>
          <w:szCs w:val="28"/>
        </w:rPr>
        <w:t>/2020</w:t>
      </w:r>
    </w:p>
    <w:p w:rsidR="00BE141A" w:rsidP="00D07FED">
      <w:pPr>
        <w:jc w:val="center"/>
        <w:rPr>
          <w:b/>
          <w:sz w:val="28"/>
          <w:szCs w:val="28"/>
        </w:rPr>
      </w:pPr>
    </w:p>
    <w:p w:rsidR="00D07FED" w:rsidRPr="003D0B6B" w:rsidP="00D07FED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</w:t>
      </w:r>
      <w:r w:rsidRPr="003D0B6B">
        <w:rPr>
          <w:b/>
          <w:sz w:val="28"/>
          <w:szCs w:val="28"/>
        </w:rPr>
        <w:t xml:space="preserve"> О С Т А Н О В Л Е Н И Е</w:t>
      </w:r>
    </w:p>
    <w:p w:rsidR="00D07FED" w:rsidP="00D07FED">
      <w:pPr>
        <w:jc w:val="both"/>
        <w:rPr>
          <w:sz w:val="28"/>
          <w:szCs w:val="28"/>
        </w:rPr>
      </w:pPr>
    </w:p>
    <w:p w:rsidR="00D07FED" w:rsidRPr="003D0B6B" w:rsidP="00D07FED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марта 2020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D07FED" w:rsidP="00D07FED">
      <w:pPr>
        <w:jc w:val="both"/>
        <w:rPr>
          <w:sz w:val="28"/>
          <w:szCs w:val="28"/>
        </w:rPr>
      </w:pPr>
    </w:p>
    <w:p w:rsidR="00D07FED" w:rsidRPr="003D0B6B" w:rsidP="00D07FED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D07FED" w:rsidRPr="003D0B6B" w:rsidP="00D07FED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D07FED" w:rsidP="00D07FE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D07FED" w:rsidP="00D07FE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0E36EF">
        <w:rPr>
          <w:sz w:val="28"/>
          <w:szCs w:val="28"/>
        </w:rPr>
        <w:t xml:space="preserve"> Прудникова А.В.</w:t>
      </w:r>
      <w:r>
        <w:rPr>
          <w:sz w:val="28"/>
          <w:szCs w:val="28"/>
        </w:rPr>
        <w:t xml:space="preserve">   </w:t>
      </w:r>
    </w:p>
    <w:p w:rsidR="00D07FED" w:rsidRPr="003D0B6B" w:rsidP="00D07FE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0E36EF">
        <w:rPr>
          <w:sz w:val="28"/>
          <w:szCs w:val="28"/>
        </w:rPr>
        <w:t>Падалка В.В</w:t>
      </w:r>
      <w:r>
        <w:rPr>
          <w:sz w:val="28"/>
          <w:szCs w:val="28"/>
        </w:rPr>
        <w:t>.,</w:t>
      </w:r>
    </w:p>
    <w:p w:rsidR="00D07FED" w:rsidP="00D07FE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0E36EF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6EF" w:rsidP="00D07FE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0E36EF" w:rsidRPr="00513CD5" w:rsidP="000E36E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Алиевой Казибе Решатовны</w:t>
            </w:r>
            <w:r>
              <w:rPr>
                <w:sz w:val="28"/>
                <w:szCs w:val="28"/>
              </w:rPr>
              <w:t>,</w:t>
            </w:r>
          </w:p>
          <w:p w:rsidR="000E36EF" w:rsidP="00BE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</w:tc>
      </w:tr>
      <w:tr w:rsidTr="000E36EF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FED" w:rsidP="00F87FB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FED" w:rsidP="00F87FBF">
            <w:pPr>
              <w:jc w:val="both"/>
              <w:rPr>
                <w:sz w:val="28"/>
                <w:szCs w:val="28"/>
              </w:rPr>
            </w:pPr>
          </w:p>
        </w:tc>
      </w:tr>
      <w:tr w:rsidTr="00F87FB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D07FED" w:rsidP="00F87FB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D07FED" w:rsidP="00F87FBF">
            <w:pPr>
              <w:jc w:val="both"/>
              <w:rPr>
                <w:sz w:val="28"/>
                <w:szCs w:val="28"/>
              </w:rPr>
            </w:pPr>
          </w:p>
        </w:tc>
      </w:tr>
    </w:tbl>
    <w:p w:rsidR="00D07FED" w:rsidRPr="003D0B6B" w:rsidP="00D07FED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D07FED" w:rsidRPr="003D0B6B" w:rsidP="00D07FED">
      <w:pPr>
        <w:jc w:val="center"/>
        <w:rPr>
          <w:b/>
          <w:sz w:val="28"/>
          <w:szCs w:val="28"/>
        </w:rPr>
      </w:pPr>
    </w:p>
    <w:p w:rsidR="00D07FED" w:rsidRPr="003D0B6B" w:rsidP="00D07FED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D07FED" w:rsidRPr="003D0B6B" w:rsidP="00D07FED">
      <w:pPr>
        <w:jc w:val="both"/>
        <w:rPr>
          <w:sz w:val="28"/>
          <w:szCs w:val="28"/>
        </w:rPr>
      </w:pPr>
    </w:p>
    <w:p w:rsidR="00D07FED" w:rsidP="00D07F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Алиева К.Б.</w:t>
      </w:r>
      <w:r>
        <w:rPr>
          <w:sz w:val="28"/>
          <w:szCs w:val="28"/>
        </w:rPr>
        <w:t xml:space="preserve"> обвиняется в том, что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ОВМ ОМВД России по Ленинскому району Республики Крым, расположенному по адресу: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 месте их пребывания и понимая, что без данного уведомления </w:t>
      </w:r>
      <w:r>
        <w:rPr>
          <w:sz w:val="28"/>
          <w:szCs w:val="28"/>
        </w:rPr>
        <w:t>их пребывание на территории РФ незаконно, будучи зарегистрированн</w:t>
      </w:r>
      <w:r w:rsidR="007E309F">
        <w:rPr>
          <w:sz w:val="28"/>
          <w:szCs w:val="28"/>
        </w:rPr>
        <w:t>ой</w:t>
      </w:r>
      <w:r>
        <w:rPr>
          <w:sz w:val="28"/>
          <w:szCs w:val="28"/>
        </w:rPr>
        <w:t xml:space="preserve"> по адресу: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 w:rsidR="007E309F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требований п.7 ч.1 ст.2 ФЗ №109 от 18.06.2006г «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вышеуказанного закона, гражданином Российской Федерации, у которого иностранный</w:t>
      </w:r>
      <w:r>
        <w:rPr>
          <w:sz w:val="28"/>
          <w:szCs w:val="28"/>
        </w:rPr>
        <w:t xml:space="preserve"> гражданин фактически проживает (находится), либо у которого иностранный гражданин осуществляет трудовую деятельность,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имея намерения предоставить место пребывания иностранному гражданину, имея умысел на фиктивную постановку на учет иностранного гражданина по месту пребывания в Российской Федерации, умышленно заполнил</w:t>
      </w:r>
      <w:r w:rsidR="007E309F">
        <w:rPr>
          <w:sz w:val="28"/>
          <w:szCs w:val="28"/>
        </w:rPr>
        <w:t>а</w:t>
      </w:r>
      <w:r>
        <w:rPr>
          <w:sz w:val="28"/>
          <w:szCs w:val="28"/>
        </w:rPr>
        <w:t xml:space="preserve"> и заверил</w:t>
      </w:r>
      <w:r w:rsidR="007E309F">
        <w:rPr>
          <w:sz w:val="28"/>
          <w:szCs w:val="28"/>
        </w:rPr>
        <w:t>а</w:t>
      </w:r>
      <w:r>
        <w:rPr>
          <w:sz w:val="28"/>
          <w:szCs w:val="28"/>
        </w:rPr>
        <w:t xml:space="preserve"> своей подписью уведомление о прибытии иностранного гражданина: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 w:rsidR="007E3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передал</w:t>
      </w:r>
      <w:r w:rsidR="007E309F">
        <w:rPr>
          <w:sz w:val="28"/>
          <w:szCs w:val="28"/>
        </w:rPr>
        <w:t>а</w:t>
      </w:r>
      <w:r>
        <w:rPr>
          <w:sz w:val="28"/>
          <w:szCs w:val="28"/>
        </w:rPr>
        <w:t xml:space="preserve"> его сотруднику ОВМ ОМВД России по Ленинскому району. После чего сотрудниками ОВМ на основании вышеуказанных документов иностранный гражданин был  поставлен на миграционный учет по вышеуказанному адресу с </w:t>
      </w:r>
      <w:r w:rsidR="00910B74">
        <w:rPr>
          <w:sz w:val="28"/>
          <w:szCs w:val="28"/>
        </w:rPr>
        <w:t xml:space="preserve"> </w:t>
      </w:r>
      <w:r w:rsidR="00910B74">
        <w:rPr>
          <w:sz w:val="28"/>
          <w:szCs w:val="28"/>
        </w:rPr>
        <w:t>(данные изъяты)</w:t>
      </w:r>
    </w:p>
    <w:p w:rsidR="00D07FED" w:rsidP="00D07FED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</w:t>
      </w:r>
      <w:r w:rsidRPr="006576FE">
        <w:rPr>
          <w:sz w:val="28"/>
          <w:szCs w:val="28"/>
        </w:rPr>
        <w:t xml:space="preserve">так как </w:t>
      </w:r>
      <w:r w:rsidR="00C7531F">
        <w:rPr>
          <w:sz w:val="28"/>
          <w:szCs w:val="28"/>
        </w:rPr>
        <w:t>Алиева К.Р.</w:t>
      </w:r>
      <w:r>
        <w:rPr>
          <w:sz w:val="28"/>
          <w:szCs w:val="28"/>
        </w:rPr>
        <w:t xml:space="preserve"> ранее не судим</w:t>
      </w:r>
      <w:r w:rsidR="00C7531F">
        <w:rPr>
          <w:sz w:val="28"/>
          <w:szCs w:val="28"/>
        </w:rPr>
        <w:t>а</w:t>
      </w:r>
      <w:r>
        <w:rPr>
          <w:sz w:val="28"/>
          <w:szCs w:val="28"/>
        </w:rPr>
        <w:t>, совершил</w:t>
      </w:r>
      <w:r w:rsidR="00C7531F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впервые небольшой тяжести,  </w:t>
      </w:r>
      <w:r w:rsidRPr="006576FE">
        <w:rPr>
          <w:sz w:val="28"/>
          <w:szCs w:val="28"/>
        </w:rPr>
        <w:t>вину в совершении преступления признал</w:t>
      </w:r>
      <w:r w:rsidR="00C7531F">
        <w:rPr>
          <w:sz w:val="28"/>
          <w:szCs w:val="28"/>
        </w:rPr>
        <w:t>а</w:t>
      </w:r>
      <w:r>
        <w:rPr>
          <w:sz w:val="28"/>
          <w:szCs w:val="28"/>
        </w:rPr>
        <w:t xml:space="preserve"> полностью. </w:t>
      </w:r>
    </w:p>
    <w:p w:rsidR="00C7531F" w:rsidP="00D07FED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Алиева К.Р.</w:t>
      </w:r>
      <w:r w:rsidR="00D07FED">
        <w:rPr>
          <w:sz w:val="28"/>
          <w:szCs w:val="28"/>
        </w:rPr>
        <w:t xml:space="preserve"> вину в совершении преступления признал</w:t>
      </w:r>
      <w:r>
        <w:rPr>
          <w:sz w:val="28"/>
          <w:szCs w:val="28"/>
        </w:rPr>
        <w:t>а</w:t>
      </w:r>
      <w:r w:rsidR="00D07FED">
        <w:rPr>
          <w:sz w:val="28"/>
          <w:szCs w:val="28"/>
        </w:rPr>
        <w:t xml:space="preserve"> полностью,  </w:t>
      </w:r>
      <w:r>
        <w:rPr>
          <w:sz w:val="28"/>
          <w:szCs w:val="28"/>
        </w:rPr>
        <w:t>п</w:t>
      </w:r>
      <w:r w:rsidR="00D07FED">
        <w:rPr>
          <w:color w:val="000000"/>
          <w:sz w:val="28"/>
          <w:szCs w:val="28"/>
          <w:shd w:val="clear" w:color="auto" w:fill="F5F5F5"/>
        </w:rPr>
        <w:t>росил</w:t>
      </w:r>
      <w:r>
        <w:rPr>
          <w:color w:val="000000"/>
          <w:sz w:val="28"/>
          <w:szCs w:val="28"/>
          <w:shd w:val="clear" w:color="auto" w:fill="F5F5F5"/>
        </w:rPr>
        <w:t>а</w:t>
      </w:r>
      <w:r w:rsidR="00D07FED">
        <w:rPr>
          <w:color w:val="000000"/>
          <w:sz w:val="28"/>
          <w:szCs w:val="28"/>
          <w:shd w:val="clear" w:color="auto" w:fill="F5F5F5"/>
        </w:rPr>
        <w:t xml:space="preserve"> суд производство по делу прекратить. </w:t>
      </w:r>
    </w:p>
    <w:p w:rsidR="00D07FED" w:rsidP="00D07FED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поддержал  заявленное ходатайство защитника. </w:t>
      </w:r>
      <w:r w:rsidR="00C7531F">
        <w:rPr>
          <w:color w:val="000000"/>
          <w:sz w:val="28"/>
          <w:szCs w:val="28"/>
          <w:shd w:val="clear" w:color="auto" w:fill="F5F5F5"/>
        </w:rPr>
        <w:t xml:space="preserve">Алиевой К.Р. совершено преступление впервые небольшой тяжести и в её </w:t>
      </w:r>
      <w:r>
        <w:rPr>
          <w:sz w:val="28"/>
          <w:szCs w:val="28"/>
        </w:rPr>
        <w:t>действиях не содержится иного состава преступления.</w:t>
      </w:r>
    </w:p>
    <w:p w:rsidR="00D07FED" w:rsidP="00D07FE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D07FED" w:rsidRPr="006576FE" w:rsidP="00D07F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344734">
        <w:rPr>
          <w:sz w:val="28"/>
          <w:szCs w:val="28"/>
        </w:rPr>
        <w:t>й</w:t>
      </w:r>
      <w:r>
        <w:rPr>
          <w:sz w:val="28"/>
          <w:szCs w:val="28"/>
        </w:rPr>
        <w:t>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C774AA">
        <w:rPr>
          <w:sz w:val="28"/>
          <w:szCs w:val="28"/>
        </w:rPr>
        <w:t xml:space="preserve"> </w:t>
      </w:r>
      <w:r w:rsidR="00344734">
        <w:rPr>
          <w:sz w:val="28"/>
          <w:szCs w:val="28"/>
        </w:rPr>
        <w:t>Алиева К.Р.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подлежит освобождению от уголовной ответственности, а уголовное дело </w:t>
      </w:r>
      <w:r w:rsidRPr="006576FE">
        <w:rPr>
          <w:sz w:val="28"/>
          <w:szCs w:val="28"/>
        </w:rPr>
        <w:t>-п</w:t>
      </w:r>
      <w:r w:rsidRPr="006576FE">
        <w:rPr>
          <w:sz w:val="28"/>
          <w:szCs w:val="28"/>
        </w:rPr>
        <w:t>рекращению по следующим основаниям.</w:t>
      </w:r>
    </w:p>
    <w:p w:rsidR="00D07FED" w:rsidRPr="006576FE" w:rsidP="00D07FE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07FED" w:rsidRPr="006576FE" w:rsidP="00D07FED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 w:rsidR="00910B74">
        <w:rPr>
          <w:sz w:val="28"/>
          <w:szCs w:val="28"/>
        </w:rPr>
        <w:t xml:space="preserve"> </w:t>
      </w:r>
      <w:r w:rsidR="00910B74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 </w:t>
      </w:r>
      <w:r w:rsidRPr="0073207D">
        <w:rPr>
          <w:sz w:val="28"/>
          <w:szCs w:val="28"/>
        </w:rPr>
        <w:t xml:space="preserve">в отношении </w:t>
      </w:r>
      <w:r w:rsidR="00CD47FC">
        <w:rPr>
          <w:sz w:val="28"/>
          <w:szCs w:val="28"/>
        </w:rPr>
        <w:t xml:space="preserve">Алиевой Казибе Решатовны 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D07FED" w:rsidRPr="006576FE" w:rsidP="00D07FE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 w:rsidR="00CD4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фототаблицами: по адресу: </w:t>
      </w:r>
      <w:r w:rsidR="00910B74">
        <w:rPr>
          <w:sz w:val="28"/>
          <w:szCs w:val="28"/>
        </w:rPr>
        <w:t xml:space="preserve">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>
        <w:rPr>
          <w:sz w:val="28"/>
          <w:szCs w:val="28"/>
        </w:rPr>
        <w:t>( л.д.</w:t>
      </w:r>
      <w:r w:rsidR="00CD47FC">
        <w:rPr>
          <w:sz w:val="28"/>
          <w:szCs w:val="28"/>
        </w:rPr>
        <w:t>11-22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CD47FC">
        <w:rPr>
          <w:sz w:val="28"/>
          <w:szCs w:val="28"/>
        </w:rPr>
        <w:t>Алиевой К.Р.</w:t>
      </w:r>
      <w:r>
        <w:rPr>
          <w:sz w:val="28"/>
          <w:szCs w:val="28"/>
        </w:rPr>
        <w:t xml:space="preserve"> от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 w:rsidR="00CD47FC">
        <w:rPr>
          <w:sz w:val="28"/>
          <w:szCs w:val="28"/>
        </w:rPr>
        <w:t xml:space="preserve"> (л.д.50-53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 xml:space="preserve">ого гражданина </w:t>
      </w:r>
      <w:r w:rsidR="00CD47FC">
        <w:rPr>
          <w:sz w:val="28"/>
          <w:szCs w:val="28"/>
        </w:rPr>
        <w:t>Узбекистана</w:t>
      </w:r>
      <w:r>
        <w:rPr>
          <w:sz w:val="28"/>
          <w:szCs w:val="28"/>
        </w:rPr>
        <w:t xml:space="preserve"> без намерения предоставить </w:t>
      </w:r>
      <w:r w:rsidR="00CD47FC">
        <w:rPr>
          <w:sz w:val="28"/>
          <w:szCs w:val="28"/>
        </w:rPr>
        <w:t>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CD47FC">
        <w:rPr>
          <w:sz w:val="28"/>
          <w:szCs w:val="28"/>
        </w:rPr>
        <w:t>Алиева К.Р.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 w:rsidR="00CD47FC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D07FED" w:rsidRPr="006576FE" w:rsidP="00D07FED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CD47FC" w:rsidR="00CD47FC">
        <w:rPr>
          <w:sz w:val="28"/>
          <w:szCs w:val="28"/>
        </w:rPr>
        <w:t xml:space="preserve"> </w:t>
      </w:r>
      <w:r w:rsidR="00CD47FC">
        <w:rPr>
          <w:sz w:val="28"/>
          <w:szCs w:val="28"/>
        </w:rPr>
        <w:t xml:space="preserve">Алиева К.Р. 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 w:rsidR="00CD47F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D07FED" w:rsidRPr="006576FE" w:rsidP="00D07FE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D07FED" w:rsidP="00D07FE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>
        <w:rPr>
          <w:sz w:val="28"/>
          <w:szCs w:val="28"/>
        </w:rPr>
        <w:t xml:space="preserve"> </w:t>
      </w:r>
      <w:r w:rsidR="00CD47FC">
        <w:rPr>
          <w:sz w:val="28"/>
          <w:szCs w:val="28"/>
        </w:rPr>
        <w:t xml:space="preserve">Алиева К.Р.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</w:t>
      </w:r>
      <w:r w:rsidR="00CD47FC">
        <w:rPr>
          <w:sz w:val="28"/>
          <w:szCs w:val="28"/>
        </w:rPr>
        <w:t>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</w:t>
      </w:r>
      <w:r w:rsidR="00CD47FC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впервые небольшой тяжести, по месту жительства характеризуется положительно, вдов</w:t>
      </w:r>
      <w:r w:rsidR="00CD47FC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A85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несовершеннолетних  детей, </w:t>
      </w:r>
      <w:r>
        <w:rPr>
          <w:sz w:val="28"/>
          <w:szCs w:val="28"/>
        </w:rPr>
        <w:t xml:space="preserve">нетрудоспособных родителей на иждивении не имеет, </w:t>
      </w:r>
      <w:r w:rsidR="00CD47FC">
        <w:rPr>
          <w:sz w:val="28"/>
          <w:szCs w:val="28"/>
        </w:rPr>
        <w:t>не работает, является пенсионером</w:t>
      </w:r>
      <w:r>
        <w:rPr>
          <w:sz w:val="28"/>
          <w:szCs w:val="28"/>
        </w:rPr>
        <w:t xml:space="preserve">,  инвалидности не имеет, на учете у врача нарколога и врача психиатра не состоит, </w:t>
      </w:r>
      <w:r w:rsidRPr="006576FE">
        <w:rPr>
          <w:sz w:val="28"/>
          <w:szCs w:val="28"/>
        </w:rPr>
        <w:t>способствовал</w:t>
      </w:r>
      <w:r w:rsidR="00CD47FC">
        <w:rPr>
          <w:sz w:val="28"/>
          <w:szCs w:val="28"/>
        </w:rPr>
        <w:t>а р</w:t>
      </w:r>
      <w:r w:rsidRPr="006576FE">
        <w:rPr>
          <w:sz w:val="28"/>
          <w:szCs w:val="28"/>
        </w:rPr>
        <w:t>аскрытию преступления и в  е</w:t>
      </w:r>
      <w:r w:rsidR="00CD47FC">
        <w:rPr>
          <w:sz w:val="28"/>
          <w:szCs w:val="28"/>
        </w:rPr>
        <w:t>ё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действиях не содержится иного состава преступления, он</w:t>
      </w:r>
      <w:r w:rsidR="00CD47FC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</w:t>
      </w:r>
      <w:r w:rsidRPr="006576FE">
        <w:rPr>
          <w:sz w:val="28"/>
          <w:szCs w:val="28"/>
        </w:rPr>
        <w:t xml:space="preserve"> освобождению от уголовной ответственности с прекращением производства по делу.</w:t>
      </w:r>
    </w:p>
    <w:p w:rsidR="00D07FED" w:rsidRPr="00BE49BB" w:rsidP="00D07FED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CD47FC" w:rsidP="00CD4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Вещественные доказательства по делу отсутствуют.</w:t>
      </w:r>
    </w:p>
    <w:p w:rsidR="00D07FED" w:rsidP="00CD4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</w:t>
      </w:r>
      <w:r>
        <w:rPr>
          <w:sz w:val="28"/>
          <w:szCs w:val="28"/>
        </w:rPr>
        <w:t>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Алиевой К.Р.</w:t>
      </w:r>
      <w:r>
        <w:rPr>
          <w:sz w:val="28"/>
          <w:szCs w:val="28"/>
        </w:rPr>
        <w:t xml:space="preserve"> не избиралась. Отобрано обязательство о явке.</w:t>
      </w:r>
    </w:p>
    <w:p w:rsidR="00D07FED" w:rsidP="00D07FED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</w:t>
      </w:r>
      <w:r w:rsidRPr="006576FE">
        <w:rPr>
          <w:sz w:val="28"/>
          <w:szCs w:val="28"/>
        </w:rPr>
        <w:t xml:space="preserve"> ,</w:t>
      </w:r>
      <w:r w:rsidRPr="006576FE">
        <w:rPr>
          <w:sz w:val="28"/>
          <w:szCs w:val="28"/>
        </w:rPr>
        <w:t xml:space="preserve"> ст. ст.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316, 321, 323 УПК РФ суд –</w:t>
      </w:r>
    </w:p>
    <w:p w:rsidR="00D07FED" w:rsidRPr="006576FE" w:rsidP="00D07FED">
      <w:pPr>
        <w:jc w:val="both"/>
        <w:rPr>
          <w:sz w:val="28"/>
          <w:szCs w:val="28"/>
        </w:rPr>
      </w:pPr>
    </w:p>
    <w:p w:rsidR="00D07FED" w:rsidRPr="006576FE" w:rsidP="00D07FED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</w:t>
      </w:r>
      <w:r w:rsidRPr="006576FE">
        <w:rPr>
          <w:b/>
          <w:sz w:val="28"/>
          <w:szCs w:val="28"/>
        </w:rPr>
        <w:t xml:space="preserve"> О С Т А Н О В И Л:</w:t>
      </w:r>
    </w:p>
    <w:p w:rsidR="00D07FED" w:rsidRPr="006576FE" w:rsidP="00D07FED">
      <w:pPr>
        <w:jc w:val="both"/>
        <w:rPr>
          <w:sz w:val="28"/>
          <w:szCs w:val="28"/>
        </w:rPr>
      </w:pPr>
    </w:p>
    <w:p w:rsidR="00D07FED" w:rsidRPr="006576FE" w:rsidP="00CD47FC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A85994">
        <w:rPr>
          <w:b/>
          <w:sz w:val="28"/>
          <w:szCs w:val="28"/>
        </w:rPr>
        <w:t xml:space="preserve"> </w:t>
      </w:r>
      <w:r w:rsidR="00CD47FC">
        <w:rPr>
          <w:b/>
          <w:sz w:val="28"/>
          <w:szCs w:val="28"/>
        </w:rPr>
        <w:t xml:space="preserve">Алиеву </w:t>
      </w:r>
      <w:r w:rsidR="00CD47FC">
        <w:rPr>
          <w:b/>
          <w:sz w:val="28"/>
          <w:szCs w:val="28"/>
        </w:rPr>
        <w:t>Казибе</w:t>
      </w:r>
      <w:r w:rsidR="00CD47FC">
        <w:rPr>
          <w:b/>
          <w:sz w:val="28"/>
          <w:szCs w:val="28"/>
        </w:rPr>
        <w:t xml:space="preserve"> </w:t>
      </w:r>
      <w:r w:rsidR="00CD47FC">
        <w:rPr>
          <w:b/>
          <w:sz w:val="28"/>
          <w:szCs w:val="28"/>
        </w:rPr>
        <w:t>Решатовну</w:t>
      </w:r>
      <w:r w:rsidR="00CD47FC">
        <w:rPr>
          <w:sz w:val="28"/>
          <w:szCs w:val="28"/>
        </w:rPr>
        <w:t xml:space="preserve">, </w:t>
      </w:r>
      <w:r w:rsidR="00910B74">
        <w:rPr>
          <w:sz w:val="28"/>
          <w:szCs w:val="28"/>
        </w:rPr>
        <w:t>(данные изъяты)</w:t>
      </w:r>
      <w:r w:rsidR="00910B74">
        <w:rPr>
          <w:sz w:val="28"/>
          <w:szCs w:val="28"/>
        </w:rPr>
        <w:t xml:space="preserve"> </w:t>
      </w:r>
      <w:r w:rsidR="00CD47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D07FED" w:rsidP="00D07FED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CD47FC">
        <w:rPr>
          <w:b/>
          <w:sz w:val="28"/>
          <w:szCs w:val="28"/>
        </w:rPr>
        <w:t>Алиев</w:t>
      </w:r>
      <w:r w:rsidR="00236458">
        <w:rPr>
          <w:b/>
          <w:sz w:val="28"/>
          <w:szCs w:val="28"/>
        </w:rPr>
        <w:t>ой Казибе Решатовны</w:t>
      </w:r>
      <w:r w:rsidRPr="006576FE" w:rsidR="00CD47FC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D07FED" w:rsidP="00D07FED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D07FED" w:rsidP="00D07FED">
      <w:pPr>
        <w:jc w:val="both"/>
        <w:rPr>
          <w:sz w:val="28"/>
          <w:szCs w:val="28"/>
          <w:lang w:eastAsia="uk-UA"/>
        </w:rPr>
      </w:pPr>
    </w:p>
    <w:p w:rsidR="00CD47FC" w:rsidRPr="006576FE" w:rsidP="00D07FED">
      <w:pPr>
        <w:jc w:val="both"/>
        <w:rPr>
          <w:sz w:val="28"/>
          <w:szCs w:val="28"/>
          <w:lang w:eastAsia="uk-UA"/>
        </w:rPr>
      </w:pPr>
    </w:p>
    <w:p w:rsidR="00D07FED" w:rsidRPr="006576FE" w:rsidP="00D07FE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D07FED" w:rsidRPr="006576FE" w:rsidP="00D07FE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D07FED" w:rsidRPr="006576FE" w:rsidP="00D07FE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(Ленинский муниципальный район</w:t>
      </w:r>
      <w:r w:rsidRPr="006576FE">
        <w:rPr>
          <w:sz w:val="28"/>
          <w:szCs w:val="28"/>
        </w:rPr>
        <w:t xml:space="preserve"> )</w:t>
      </w:r>
      <w:r w:rsidRPr="00657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D07FED" w:rsidP="00D07FE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D07FED" w:rsidP="00D07FE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</w:p>
    <w:p w:rsidR="00593EF6"/>
    <w:sectPr w:rsidSect="00E42DF8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ED"/>
    <w:rsid w:val="000E36EF"/>
    <w:rsid w:val="00236458"/>
    <w:rsid w:val="00263422"/>
    <w:rsid w:val="002D5FFD"/>
    <w:rsid w:val="00344734"/>
    <w:rsid w:val="003D0B6B"/>
    <w:rsid w:val="00513CD5"/>
    <w:rsid w:val="00593EF6"/>
    <w:rsid w:val="006576FE"/>
    <w:rsid w:val="0073207D"/>
    <w:rsid w:val="007E309F"/>
    <w:rsid w:val="00843091"/>
    <w:rsid w:val="00910B74"/>
    <w:rsid w:val="00A85994"/>
    <w:rsid w:val="00B3738D"/>
    <w:rsid w:val="00BE141A"/>
    <w:rsid w:val="00BE49BB"/>
    <w:rsid w:val="00C7531F"/>
    <w:rsid w:val="00C774AA"/>
    <w:rsid w:val="00CD47FC"/>
    <w:rsid w:val="00D07FED"/>
    <w:rsid w:val="00E42DF8"/>
    <w:rsid w:val="00F87F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D07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D07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