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1-6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426"/>
        <w:jc w:val="right"/>
        <w:rPr>
          <w:sz w:val="28"/>
          <w:szCs w:val="28"/>
        </w:rPr>
      </w:pPr>
    </w:p>
    <w:p>
      <w:pPr>
        <w:widowControl w:val="0"/>
        <w:spacing w:before="60" w:after="6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>ПОСТАНОВЛЕНИЕ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Style w:val="cat-Dategrp-6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426"/>
        <w:jc w:val="center"/>
        <w:rPr>
          <w:sz w:val="28"/>
          <w:szCs w:val="28"/>
        </w:rPr>
      </w:pP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>
        <w:rPr>
          <w:rStyle w:val="cat-FIOgrp-12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обвинителя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3rplc-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 – </w:t>
      </w:r>
      <w:r>
        <w:rPr>
          <w:rStyle w:val="cat-OrganizationNamegrp-23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-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КАРК «Первая Крымская»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ордеру № </w:t>
      </w:r>
      <w:r>
        <w:rPr>
          <w:rStyle w:val="cat-UserDefinedgrp-2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7rplc-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удостоверению № </w:t>
      </w:r>
      <w:r>
        <w:rPr>
          <w:rStyle w:val="cat-UserDefinedgrp-2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8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особом порядке уголовное дело в отношении: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left="4253"/>
        <w:jc w:val="both"/>
        <w:rPr>
          <w:sz w:val="28"/>
          <w:szCs w:val="28"/>
        </w:rPr>
      </w:pPr>
      <w:r>
        <w:rPr>
          <w:rStyle w:val="cat-FIOgrp-16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Зинора Исаевича</w:t>
      </w:r>
      <w:r>
        <w:rPr>
          <w:rFonts w:ascii="Times New Roman" w:eastAsia="Times New Roman" w:hAnsi="Times New Roman" w:cs="Times New Roman"/>
          <w:sz w:val="28"/>
          <w:szCs w:val="28"/>
        </w:rPr>
        <w:t>, родивше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Style w:val="cat-Dategrp-9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>, имеюще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среднее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состояще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зарегистрированном браке, не работающе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судимо</w:t>
      </w:r>
      <w:r>
        <w:rPr>
          <w:rFonts w:ascii="Times New Roman" w:eastAsia="Times New Roman" w:hAnsi="Times New Roman" w:cs="Times New Roman"/>
          <w:sz w:val="28"/>
          <w:szCs w:val="28"/>
        </w:rPr>
        <w:t>сти не имеюще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4253" w:firstLine="426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ч. 1 ст. 158 УК РФ,</w:t>
      </w:r>
    </w:p>
    <w:p>
      <w:pPr>
        <w:spacing w:before="0" w:after="0"/>
        <w:ind w:firstLine="426"/>
        <w:jc w:val="center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</w:t>
      </w:r>
      <w:r>
        <w:rPr>
          <w:rFonts w:ascii="Times New Roman" w:eastAsia="Times New Roman" w:hAnsi="Times New Roman" w:cs="Times New Roman"/>
          <w:sz w:val="28"/>
          <w:szCs w:val="28"/>
        </w:rPr>
        <w:t>органом дознания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ч. 1 ст. 158 УК РФ - кража, то есть тайное хищение чужого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, при следующих обстоятельствах:</w:t>
      </w:r>
    </w:p>
    <w:p>
      <w:pPr>
        <w:spacing w:before="0" w:after="0"/>
        <w:ind w:firstLine="568"/>
        <w:jc w:val="both"/>
        <w:rPr>
          <w:sz w:val="28"/>
          <w:szCs w:val="28"/>
        </w:rPr>
      </w:pPr>
      <w:r>
        <w:rPr>
          <w:rStyle w:val="cat-Dategrp-10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мни.,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помещении магазина </w:t>
      </w:r>
      <w:r>
        <w:rPr>
          <w:rStyle w:val="cat-OrganizationNamegrp-23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5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имея умысел на совершение кражи, то есть тайное хищение чужого имущества, осознавая общественную опасность своих действий, из корыстных побуждений, пользуясь тем, что за н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никто не наблюдает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путем свободного доступа тайно похитил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кабель </w:t>
      </w:r>
      <w:r>
        <w:rPr>
          <w:rFonts w:ascii="Times New Roman" w:eastAsia="Times New Roman" w:hAnsi="Times New Roman" w:cs="Times New Roman"/>
          <w:sz w:val="28"/>
          <w:szCs w:val="28"/>
        </w:rPr>
        <w:t>dx</w:t>
      </w:r>
      <w:r>
        <w:rPr>
          <w:rFonts w:ascii="Times New Roman" w:eastAsia="Times New Roman" w:hAnsi="Times New Roman" w:cs="Times New Roman"/>
          <w:sz w:val="28"/>
          <w:szCs w:val="28"/>
        </w:rPr>
        <w:t>-10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RADIOLAB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FV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длиной 280 см., стоимостью </w:t>
      </w:r>
      <w:r>
        <w:rPr>
          <w:rStyle w:val="cat-Sumgrp-20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блок питания кассового аппарата ШТРИХ-</w:t>
      </w:r>
      <w:r>
        <w:rPr>
          <w:rFonts w:ascii="Times New Roman" w:eastAsia="Times New Roman" w:hAnsi="Times New Roman" w:cs="Times New Roman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LINE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ZANDIN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ADS</w:t>
      </w:r>
      <w:r>
        <w:rPr>
          <w:rFonts w:ascii="Times New Roman" w:eastAsia="Times New Roman" w:hAnsi="Times New Roman" w:cs="Times New Roman"/>
          <w:sz w:val="28"/>
          <w:szCs w:val="28"/>
        </w:rPr>
        <w:t>-65</w:t>
      </w:r>
      <w:r>
        <w:rPr>
          <w:rFonts w:ascii="Times New Roman" w:eastAsia="Times New Roman" w:hAnsi="Times New Roman" w:cs="Times New Roman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sz w:val="28"/>
          <w:szCs w:val="28"/>
        </w:rPr>
        <w:t>-06-2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стоимостью </w:t>
      </w:r>
      <w:r>
        <w:rPr>
          <w:rStyle w:val="cat-Sumgrp-21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принадлежащи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общей стоимостью </w:t>
      </w:r>
      <w:r>
        <w:rPr>
          <w:rStyle w:val="cat-Sumgrp-22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чего с похищенным скрылс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распорядилс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своему усмотрению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чего, причинил </w:t>
      </w:r>
      <w:r>
        <w:rPr>
          <w:rStyle w:val="cat-FIOgrp-18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материальный ущерб на сумму </w:t>
      </w:r>
      <w:r>
        <w:rPr>
          <w:rStyle w:val="cat-Sumgrp-22rplc-28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подготовительной части судебного заседания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r>
        <w:rPr>
          <w:rStyle w:val="cat-FIOgrp-1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после разъяснения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ч. 2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268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УПК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РФ, возможности примирения с подсудимым, заявил ходатайство о прекращении уголовного дела в отношении </w:t>
      </w:r>
      <w:r>
        <w:rPr>
          <w:rStyle w:val="cat-FIOgrp-14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в связи с примирением с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ссылаясь на те обстоятельства, что причиненный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вред заглажен в полном объеме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принесения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извинений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возврата </w:t>
      </w:r>
      <w:r>
        <w:rPr>
          <w:rFonts w:ascii="Times New Roman" w:eastAsia="Times New Roman" w:hAnsi="Times New Roman" w:cs="Times New Roman"/>
          <w:sz w:val="28"/>
          <w:szCs w:val="28"/>
        </w:rPr>
        <w:t>похищенного 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чем, они с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примирились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он не имеет к не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каких-либо претензий материального и морального характера.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 о примирении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заявил добровольно.</w:t>
      </w:r>
    </w:p>
    <w:p>
      <w:pPr>
        <w:spacing w:before="0" w:after="0"/>
        <w:ind w:right="14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>
        <w:rPr>
          <w:rStyle w:val="cat-FIOgrp-17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прекращения уголовного дела не возражал, пояснив, что загладил причинённый вред, путем принесения извинений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возврата </w:t>
      </w:r>
      <w:r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примирилс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больше такого не повториться.</w:t>
      </w:r>
    </w:p>
    <w:p>
      <w:pPr>
        <w:spacing w:before="0" w:after="0"/>
        <w:ind w:right="134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адвокат </w:t>
      </w:r>
      <w:r>
        <w:rPr>
          <w:rStyle w:val="cat-FIOgrp-15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уголовное дело в связи с примирением сторон, так как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примирилс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загладил причинённый вред.</w:t>
      </w:r>
    </w:p>
    <w:p>
      <w:pPr>
        <w:spacing w:before="0" w:after="0"/>
        <w:ind w:right="134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</w:t>
      </w:r>
      <w:r>
        <w:rPr>
          <w:rStyle w:val="cat-FIOgrp-13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возражал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прекращения уголовного дела в связи с примирением сторон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 с требованиями ст. 254 УПК РФ суд прекращает уголовное дело в судебном заседании в случае, предусмотренном статьёй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законом потерпевший имеет право заявить ходатайство о примирении с подсудимым на любой стадии уголовного судопроизводства. Законодателем не предусмотрено каких-либо ограничений в применении правил, предусмотренных ст. 76 УК РФ, при наличии обвинения по ч. 1 ст. 158 УК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Произвольный отказ в прекращении уголовного дела за примирением с потерпевшим не допускается. Данная правовая позиция была подтверждена Конституционным Судом РФ при изложении правовой позиции по результатам рассмотрения положений статьи 76 УК РФ.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Style w:val="cat-FIOgrp-17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обвиняется </w:t>
      </w:r>
      <w:r>
        <w:rPr>
          <w:rFonts w:ascii="Times New Roman" w:eastAsia="Times New Roman" w:hAnsi="Times New Roman" w:cs="Times New Roman"/>
          <w:sz w:val="28"/>
          <w:szCs w:val="28"/>
        </w:rPr>
        <w:t>органом дознания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которое в соответствии со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РФ относится к категории преступлений небольшой тяжести, стороны достигли примирения, ущерб, причинённый преступлением,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возмещён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потерпевшему </w:t>
      </w:r>
      <w:r>
        <w:rPr>
          <w:rStyle w:val="cat-FIOgrp-18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наличие выраженного свободно, а не по принуждению волеизъявления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уголовного дела,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</w:t>
      </w:r>
      <w:r>
        <w:rPr>
          <w:rStyle w:val="cat-FIOgrp-14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месту жительства характеризуется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удовлетворительно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учете у врача-психиатра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врача-нарколога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состоит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вины и раскаяние в содеянном, суд не усматривает оснований к отказу в удовлетворении заявленного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ходатайства о прекращении уголовного дела в отношении </w:t>
      </w:r>
      <w:r>
        <w:rPr>
          <w:rStyle w:val="cat-FIOgrp-14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примирением с потерпевшим.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изложенные обстоятельства, суд считает возможным прекратить уголовное дело в отношении </w:t>
      </w:r>
      <w:r>
        <w:rPr>
          <w:rStyle w:val="cat-FIOgrp-14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обвинению в совершении преступления, предусмотренного ч. 1 ст. 158 УК РФ, за примирением с потерпевшим.</w:t>
      </w:r>
    </w:p>
    <w:p>
      <w:pPr>
        <w:spacing w:before="0" w:after="0"/>
        <w:ind w:right="141"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по делу заявлен не был.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Процессуальные издержки, предусмотренные ст. 131 ч. 2 п. 5 УПК РФ, составляющие суммы, подлежащие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 ч. 1 ст. 51 УПК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right="141"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изложенного, руководствуясь ст. 76 УК РФ, ст. ст. 25, 254, 256 УПК РФ, суд </w:t>
      </w:r>
    </w:p>
    <w:p>
      <w:pPr>
        <w:spacing w:before="120" w:after="1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72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уголовное дело по обвинению </w:t>
      </w:r>
      <w:r>
        <w:rPr>
          <w:rStyle w:val="cat-FIOgrp-16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Зинора Исаевича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158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в связи с примирением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сторон.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уголовному делу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кабель </w:t>
      </w:r>
      <w:r>
        <w:rPr>
          <w:rFonts w:ascii="Times New Roman" w:eastAsia="Times New Roman" w:hAnsi="Times New Roman" w:cs="Times New Roman"/>
          <w:sz w:val="28"/>
          <w:szCs w:val="28"/>
        </w:rPr>
        <w:t>dx</w:t>
      </w:r>
      <w:r>
        <w:rPr>
          <w:rFonts w:ascii="Times New Roman" w:eastAsia="Times New Roman" w:hAnsi="Times New Roman" w:cs="Times New Roman"/>
          <w:sz w:val="28"/>
          <w:szCs w:val="28"/>
        </w:rPr>
        <w:t>-10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RADIOLAB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FV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длиной 280 см., блок питания кассового аппарата ШТРИХ-</w:t>
      </w:r>
      <w:r>
        <w:rPr>
          <w:rFonts w:ascii="Times New Roman" w:eastAsia="Times New Roman" w:hAnsi="Times New Roman" w:cs="Times New Roman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LINE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ZANDIN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ADS</w:t>
      </w:r>
      <w:r>
        <w:rPr>
          <w:rFonts w:ascii="Times New Roman" w:eastAsia="Times New Roman" w:hAnsi="Times New Roman" w:cs="Times New Roman"/>
          <w:sz w:val="28"/>
          <w:szCs w:val="28"/>
        </w:rPr>
        <w:t>-65</w:t>
      </w:r>
      <w:r>
        <w:rPr>
          <w:rFonts w:ascii="Times New Roman" w:eastAsia="Times New Roman" w:hAnsi="Times New Roman" w:cs="Times New Roman"/>
          <w:sz w:val="28"/>
          <w:szCs w:val="28"/>
        </w:rPr>
        <w:t>CI</w:t>
      </w:r>
      <w:r>
        <w:rPr>
          <w:rFonts w:ascii="Times New Roman" w:eastAsia="Times New Roman" w:hAnsi="Times New Roman" w:cs="Times New Roman"/>
          <w:sz w:val="28"/>
          <w:szCs w:val="28"/>
        </w:rPr>
        <w:t>-06-2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переданные под сохранную расписку </w:t>
      </w:r>
      <w:r>
        <w:rPr>
          <w:rStyle w:val="cat-FIOgrp-18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вступлению постановления в силу, вернуть по принадлежности.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10 суток со дня его вынесения в Нижнегорский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Мировой суд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И.о.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0"/>
        <w:szCs w:val="20"/>
      </w:rPr>
    </w:pP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                                       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bCs/>
        <w:sz w:val="20"/>
        <w:szCs w:val="20"/>
      </w:rPr>
      <w:instrText xml:space="preserve"> PAGE </w:instrTex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b/>
        <w:bCs/>
        <w:sz w:val="20"/>
        <w:szCs w:val="20"/>
      </w:rPr>
      <w:t>1</w:t>
    </w:r>
    <w:r>
      <w:rPr>
        <w:rFonts w:ascii="Times New Roman" w:eastAsia="Times New Roman" w:hAnsi="Times New Roman" w:cs="Times New Roman"/>
        <w:b/>
        <w:bCs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</w:t>
    </w:r>
    <w:r>
      <w:rPr>
        <w:rFonts w:ascii="Times New Roman" w:eastAsia="Times New Roman" w:hAnsi="Times New Roman" w:cs="Times New Roman"/>
        <w:b/>
        <w:bCs/>
        <w:sz w:val="20"/>
        <w:szCs w:val="20"/>
      </w:rPr>
      <w:t>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1rplc-3">
    <w:name w:val="cat-FIO grp-1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FIOgrp-13rplc-5">
    <w:name w:val="cat-FIO grp-13 rplc-5"/>
    <w:basedOn w:val="DefaultParagraphFont"/>
  </w:style>
  <w:style w:type="character" w:customStyle="1" w:styleId="cat-OrganizationNamegrp-23rplc-6">
    <w:name w:val="cat-OrganizationName grp-23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FIOgrp-15rplc-8">
    <w:name w:val="cat-FIO grp-15 rplc-8"/>
    <w:basedOn w:val="DefaultParagraphFont"/>
  </w:style>
  <w:style w:type="character" w:customStyle="1" w:styleId="cat-UserDefinedgrp-24rplc-9">
    <w:name w:val="cat-UserDefined grp-24 rplc-9"/>
    <w:basedOn w:val="DefaultParagraphFont"/>
  </w:style>
  <w:style w:type="character" w:customStyle="1" w:styleId="cat-Dategrp-7rplc-10">
    <w:name w:val="cat-Date grp-7 rplc-10"/>
    <w:basedOn w:val="DefaultParagraphFont"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Addressgrp-4rplc-17">
    <w:name w:val="cat-Address grp-4 rplc-17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Dategrp-10rplc-19">
    <w:name w:val="cat-Date grp-10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OrganizationNamegrp-23rplc-21">
    <w:name w:val="cat-OrganizationName grp-23 rplc-21"/>
    <w:basedOn w:val="DefaultParagraphFont"/>
  </w:style>
  <w:style w:type="character" w:customStyle="1" w:styleId="cat-Addressgrp-5rplc-22">
    <w:name w:val="cat-Address grp-5 rplc-22"/>
    <w:basedOn w:val="DefaultParagraphFont"/>
  </w:style>
  <w:style w:type="character" w:customStyle="1" w:styleId="cat-Sumgrp-20rplc-23">
    <w:name w:val="cat-Sum grp-20 rplc-23"/>
    <w:basedOn w:val="DefaultParagraphFont"/>
  </w:style>
  <w:style w:type="character" w:customStyle="1" w:styleId="cat-Sumgrp-21rplc-24">
    <w:name w:val="cat-Sum grp-21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Sumgrp-22rplc-26">
    <w:name w:val="cat-Sum grp-22 rplc-26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Sumgrp-22rplc-28">
    <w:name w:val="cat-Sum grp-22 rplc-28"/>
    <w:basedOn w:val="DefaultParagraphFont"/>
  </w:style>
  <w:style w:type="character" w:customStyle="1" w:styleId="cat-FIOgrp-18rplc-29">
    <w:name w:val="cat-FIO grp-18 rplc-29"/>
    <w:basedOn w:val="DefaultParagraphFont"/>
  </w:style>
  <w:style w:type="character" w:customStyle="1" w:styleId="cat-FIOgrp-14rplc-30">
    <w:name w:val="cat-FIO grp-14 rplc-30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FIOgrp-15rplc-32">
    <w:name w:val="cat-FIO grp-15 rplc-32"/>
    <w:basedOn w:val="DefaultParagraphFont"/>
  </w:style>
  <w:style w:type="character" w:customStyle="1" w:styleId="cat-FIOgrp-13rplc-33">
    <w:name w:val="cat-FIO grp-13 rplc-33"/>
    <w:basedOn w:val="DefaultParagraphFont"/>
  </w:style>
  <w:style w:type="character" w:customStyle="1" w:styleId="cat-FIOgrp-17rplc-34">
    <w:name w:val="cat-FIO grp-17 rplc-34"/>
    <w:basedOn w:val="DefaultParagraphFont"/>
  </w:style>
  <w:style w:type="character" w:customStyle="1" w:styleId="cat-FIOgrp-18rplc-35">
    <w:name w:val="cat-FIO grp-18 rplc-35"/>
    <w:basedOn w:val="DefaultParagraphFont"/>
  </w:style>
  <w:style w:type="character" w:customStyle="1" w:styleId="cat-FIOgrp-14rplc-36">
    <w:name w:val="cat-FIO grp-14 rplc-36"/>
    <w:basedOn w:val="DefaultParagraphFont"/>
  </w:style>
  <w:style w:type="character" w:customStyle="1" w:styleId="cat-FIOgrp-18rplc-37">
    <w:name w:val="cat-FIO grp-18 rplc-37"/>
    <w:basedOn w:val="DefaultParagraphFont"/>
  </w:style>
  <w:style w:type="character" w:customStyle="1" w:styleId="cat-FIOgrp-14rplc-38">
    <w:name w:val="cat-FIO grp-14 rplc-38"/>
    <w:basedOn w:val="DefaultParagraphFont"/>
  </w:style>
  <w:style w:type="character" w:customStyle="1" w:styleId="cat-FIOgrp-14rplc-39">
    <w:name w:val="cat-FIO grp-14 rplc-39"/>
    <w:basedOn w:val="DefaultParagraphFont"/>
  </w:style>
  <w:style w:type="character" w:customStyle="1" w:styleId="cat-FIOgrp-16rplc-40">
    <w:name w:val="cat-FIO grp-16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9rplc-44">
    <w:name w:val="cat-FIO grp-19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