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C12E3">
      <w:pPr>
        <w:jc w:val="right"/>
      </w:pPr>
      <w:r>
        <w:t>Дело № 1-90-7/2017</w:t>
      </w:r>
    </w:p>
    <w:p w:rsidR="00A77B3E" w:rsidP="00BC12E3">
      <w:pPr>
        <w:jc w:val="center"/>
      </w:pPr>
      <w:r>
        <w:t>ПОСТАНОВЛЕНИЕ</w:t>
      </w:r>
    </w:p>
    <w:p w:rsidR="00A77B3E"/>
    <w:p w:rsidR="00A77B3E">
      <w:r>
        <w:t xml:space="preserve">20 февраля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>
      <w:r>
        <w:t xml:space="preserve">       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государственного обвинителя – помощника прокурора </w:t>
      </w:r>
      <w:r>
        <w:t>г.Феодосии</w:t>
      </w:r>
      <w:r>
        <w:t>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подсудимого: </w:t>
      </w:r>
      <w:r>
        <w:t>Кунгурова</w:t>
      </w:r>
      <w:r>
        <w:t xml:space="preserve"> Н.</w:t>
      </w:r>
      <w:r>
        <w:t>А.,</w:t>
      </w:r>
    </w:p>
    <w:p w:rsidR="00A77B3E">
      <w:r>
        <w:t xml:space="preserve">потерпевшего </w:t>
      </w:r>
      <w:r>
        <w:t>фио</w:t>
      </w:r>
      <w:r>
        <w:t>,</w:t>
      </w:r>
    </w:p>
    <w:p w:rsidR="00A77B3E">
      <w:r>
        <w:t xml:space="preserve">законного представителя несовершеннолетнего потерпевшего </w:t>
      </w:r>
      <w:r>
        <w:t>Гамовой</w:t>
      </w:r>
      <w:r>
        <w:t xml:space="preserve"> Л.С.,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КУНГУРОВА Н.А., паспортные данные, женатого, со средне-техническим образованием, работающего</w:t>
      </w:r>
      <w:r>
        <w:t xml:space="preserve"> должность наименование организации, зарегистрированного по адресу: адрес, фактически проживающего по адресу: адрес, ранее не судимого. </w:t>
      </w:r>
    </w:p>
    <w:p w:rsidR="00A77B3E">
      <w:r>
        <w:t>обвиняемого в совершении преступления, предусмотренного ст. 116 УК РФ,-</w:t>
      </w:r>
    </w:p>
    <w:p w:rsidR="00A77B3E"/>
    <w:p w:rsidR="00A77B3E" w:rsidP="00BC12E3">
      <w:pPr>
        <w:jc w:val="center"/>
      </w:pPr>
      <w:r>
        <w:t>У С Т А Н О В И Л:</w:t>
      </w:r>
    </w:p>
    <w:p w:rsidR="00A77B3E"/>
    <w:p w:rsidR="00A77B3E">
      <w:r>
        <w:t>Кунгуров Н.А. обвиняется в</w:t>
      </w:r>
      <w:r>
        <w:t xml:space="preserve"> совершении преступления, предусмотренного ст. 116 УК РФ, т.е. нанесение побоев, причинивших физическую боль, но не повлекших последствий, указанных в ст. 115 УК РФ, в отношении близких лиц, при следующих обстоятельствах:</w:t>
      </w:r>
    </w:p>
    <w:p w:rsidR="00A77B3E">
      <w:r>
        <w:t>Кунгуров Н.А. дата примерно в врем</w:t>
      </w:r>
      <w:r>
        <w:t>я, точное время в ходе предварительного следствия установить не представилось возможным, находясь в доме № ... по адрес, будучи в состоянии алкогольного опьянения, на почве внезапно возникших неприязненных отношений, осознавая противоправность своих действ</w:t>
      </w:r>
      <w:r>
        <w:t xml:space="preserve">ий, умышленно схватил своего малолетнего сына </w:t>
      </w:r>
      <w:r>
        <w:t>фио</w:t>
      </w:r>
      <w:r>
        <w:t>, паспортные данные, в область шеи, повалив на кровать, затем кулаком правой руки ударил последнего по лицу в область глаза, таким образом причинив ему телесные повреждения, согласно экспертизы № ... от дат</w:t>
      </w:r>
      <w:r>
        <w:t xml:space="preserve">а, в виде кровоподтеков на нижнем веке левого глаза, в верхней трети шеи слева, ссадины на нижнем веке левого глаза, тем самым Кунгуров Н.А. своими действиями причинил малолетнему </w:t>
      </w:r>
      <w:r>
        <w:t>фио</w:t>
      </w:r>
      <w:r>
        <w:t xml:space="preserve"> побои, причинивших физическую боль, но не повлекших последствий, указанн</w:t>
      </w:r>
      <w:r>
        <w:t xml:space="preserve">ых в ст. 115 УК РФ. </w:t>
      </w:r>
    </w:p>
    <w:p w:rsidR="00A77B3E">
      <w:r>
        <w:t xml:space="preserve">В судебном заседании от защитника </w:t>
      </w:r>
      <w:r>
        <w:t>Подставнева</w:t>
      </w:r>
      <w:r>
        <w:t xml:space="preserve"> А.В. поступило ходатайство о прекращении уголовного дела по обвинению </w:t>
      </w:r>
      <w:r>
        <w:t>Кунгурова</w:t>
      </w:r>
      <w:r>
        <w:t xml:space="preserve"> Н.А. в совершении преступления, предусмотренного ст. 116 УК РФ, поскольку вступившим в законную силу 07.02.20</w:t>
      </w:r>
      <w:r>
        <w:t xml:space="preserve">17 года Федеральным законом от 07.02.2017 года № 8-ФЗ «О внесении изменения в статью 116 Уголовного кодекса Российской Федерации», </w:t>
      </w:r>
      <w:r>
        <w:t xml:space="preserve">совершенное </w:t>
      </w:r>
      <w:r>
        <w:t>Кунгуровым</w:t>
      </w:r>
      <w:r>
        <w:t xml:space="preserve"> Н.А. преступление </w:t>
      </w:r>
      <w:r>
        <w:t>декриминализировано</w:t>
      </w:r>
      <w:r>
        <w:t>, а именно из ст. 116 УК РФ, исключены слова «в отношении близких</w:t>
      </w:r>
      <w:r>
        <w:t xml:space="preserve"> лиц».</w:t>
      </w:r>
    </w:p>
    <w:p w:rsidR="00A77B3E">
      <w:r>
        <w:t xml:space="preserve">Государственный обвинитель полагает подлежащим удовлетворению ходатайство защитника </w:t>
      </w:r>
      <w:r>
        <w:t>Подставнева</w:t>
      </w:r>
      <w:r>
        <w:t xml:space="preserve"> А.В. и прекратить уголовное дело в связи с отсутствием в деяниях </w:t>
      </w:r>
      <w:r>
        <w:t>Кунгурова</w:t>
      </w:r>
      <w:r>
        <w:t xml:space="preserve"> Н.А. состава преступления, предусмотренного ст. 116 УК РФ, изложенной в новой </w:t>
      </w:r>
      <w:r>
        <w:t>редакции.</w:t>
      </w:r>
    </w:p>
    <w:p w:rsidR="00A77B3E">
      <w:r>
        <w:t>Подсудимый, потерпевший и законный представитель несовершеннолетнего потерпевшего против прекращения уголовного дела не возражали.</w:t>
      </w:r>
    </w:p>
    <w:p w:rsidR="00A77B3E">
      <w:r>
        <w:t>Суд</w:t>
      </w:r>
      <w:r w:rsidR="00BC12E3">
        <w:t>,</w:t>
      </w:r>
      <w:r>
        <w:t xml:space="preserve"> заслушав мнения участников судебного разбирательства, считает, что уголовное дело в отношении </w:t>
      </w:r>
      <w:r>
        <w:t>Кунгурова</w:t>
      </w:r>
      <w:r>
        <w:t xml:space="preserve"> Н.А. п</w:t>
      </w:r>
      <w:r>
        <w:t>одлежит прекращению по следующим основаниям:</w:t>
      </w:r>
    </w:p>
    <w:p w:rsidR="00A77B3E">
      <w:r>
        <w:t xml:space="preserve">07 февраля 2017 года принят Федеральный закон №8-ФЗ «О внесении изменения в статью 116 Уголовного кодекса Российской Федерации», который вступил в законную силу 07 февраля 2017 года. Указанным законом, изложена </w:t>
      </w:r>
      <w:r>
        <w:t>новая редакция статьи 116 УК РФ, где исключено нанесение побоев или совершение иных насильственных действий, причинивших физическую боль, но не повлекших последствий, указанных в статье 115 настоящего Кодекса, в отношении близких лиц.</w:t>
      </w:r>
    </w:p>
    <w:p w:rsidR="00A77B3E">
      <w:r>
        <w:tab/>
        <w:t xml:space="preserve"> В соответствии с ч.</w:t>
      </w:r>
      <w:r>
        <w:t xml:space="preserve"> 1 ст. 10 УК РФ уголовный закон, устраняющий преступность деяния, смягчающий наказание или иным образом улучшающий положение лица, совершившего преступление, имеет обратную силу, то есть распространяется на лиц, совершивших соответствующие деяния до вступл</w:t>
      </w:r>
      <w:r>
        <w:t>ения такого закона в силу, в том числе на лиц, отбывающих наказание или отбывших наказание, но имеющих судимость. Уголовный закон, устанавливающий преступность деяния, усиливающий наказание или иным образом ухудшающий положение лица, обратной силы не имеет</w:t>
      </w:r>
      <w:r>
        <w:t>.</w:t>
      </w:r>
    </w:p>
    <w:p w:rsidR="00A77B3E">
      <w:r>
        <w:tab/>
        <w:t>На основании п. 2 ч. 1 ст. 24 УПК РФ уголовное дело не может быть возбуждено, а возбужденное уголовное дело подлежит прекращению по основанию отсутствия в деянии состава преступления.</w:t>
      </w:r>
    </w:p>
    <w:p w:rsidR="00A77B3E">
      <w:r>
        <w:t xml:space="preserve">Согласно ч. 2,3 ст. 24 УПК РФ уголовное дело подлежит прекращению по </w:t>
      </w:r>
      <w:r>
        <w:t>основанию, предусмотренному пунктом 2 части первой настоящей статьи, в случае, когда до вступления приговора в законную силу преступность и наказуемость этого деяния были устранены новым уголовным законом.</w:t>
      </w:r>
    </w:p>
    <w:p w:rsidR="00A77B3E">
      <w:r>
        <w:t xml:space="preserve">Прекращение уголовного дела влечет за собой </w:t>
      </w:r>
      <w:r>
        <w:t>одновременно прекращение уголовного преследования.</w:t>
      </w:r>
    </w:p>
    <w:p w:rsidR="00A77B3E">
      <w:r>
        <w:t>На основании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части перв</w:t>
      </w:r>
      <w:r>
        <w:t>ой, в части второй статьи 24 и пунктах 3 - 6 части первой статьи 27 настоящего Кодекса.</w:t>
      </w:r>
    </w:p>
    <w:p w:rsidR="00A77B3E">
      <w:r>
        <w:t>Поскольку Кунгуров Н.А. обвиняется в совершении нанесения побоев, причинивших физическую боль, но не повлекших последствий, указанных в ст. 115 УК РФ, в отношении близк</w:t>
      </w:r>
      <w:r>
        <w:t xml:space="preserve">ого лица </w:t>
      </w:r>
      <w:r>
        <w:t>фио</w:t>
      </w:r>
      <w:r>
        <w:t>, в его действиях отсутствует состав преступления, предусмотренный ст. 116 УК РФ, а потому уголовное дело и уголовное преследование в отношении подсудимого подлежит прекращению.</w:t>
      </w:r>
    </w:p>
    <w:p w:rsidR="00A77B3E">
      <w:r>
        <w:t>В соответствии со ст. 316 УПК РФ процессуальные издержки - расход</w:t>
      </w:r>
      <w:r>
        <w:t xml:space="preserve">ы, связанные с выплатой вознаграждения адвокату </w:t>
      </w:r>
      <w:r>
        <w:t>Подставневу</w:t>
      </w:r>
      <w:r>
        <w:t xml:space="preserve"> А.В. в сумме 1100 руб. за </w:t>
      </w:r>
      <w:r>
        <w:t>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 254  УПК РФ, с</w:t>
      </w:r>
      <w:r>
        <w:t>уд –</w:t>
      </w:r>
    </w:p>
    <w:p w:rsidR="00A77B3E"/>
    <w:p w:rsidR="00A77B3E" w:rsidP="00BC12E3">
      <w:pPr>
        <w:jc w:val="center"/>
      </w:pPr>
      <w:r>
        <w:t>ПОСТАНОВИЛ:</w:t>
      </w:r>
    </w:p>
    <w:p w:rsidR="00A77B3E"/>
    <w:p w:rsidR="00A77B3E">
      <w:r>
        <w:t>Уголовное дело и уголовное преследование в отношении КУНГУРОВА Н.А. за совершение преступления, предусмотренного ст. 116 УК РФ, прекратить в связи с отсутствием в деянии состава преступления.</w:t>
      </w:r>
    </w:p>
    <w:p w:rsidR="00A77B3E">
      <w:r>
        <w:t xml:space="preserve">Меру пресечения в виде подписки о невыезде и </w:t>
      </w:r>
      <w:r>
        <w:t xml:space="preserve">надлежащем поведении в отношении </w:t>
      </w:r>
      <w:r>
        <w:t>Кунгурова</w:t>
      </w:r>
      <w:r>
        <w:t xml:space="preserve"> Н.А.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</w:t>
      </w:r>
      <w:r>
        <w:t>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</w:t>
      </w:r>
      <w:r>
        <w:t xml:space="preserve">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судья:         (подпись)                      </w:t>
      </w:r>
      <w:r>
        <w:t>Г.А.Ярошенко</w:t>
      </w:r>
    </w:p>
    <w:p w:rsidR="00A77B3E"/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BC12E3" w:rsidP="00BC12E3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E3"/>
    <w:rsid w:val="00A77B3E"/>
    <w:rsid w:val="00BC12E3"/>
    <w:rsid w:val="00F50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50F1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50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